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A1B3" w14:textId="77777777" w:rsidR="00F1600A" w:rsidRPr="00C633B2" w:rsidRDefault="00F1600A" w:rsidP="00F1600A">
      <w:pPr>
        <w:jc w:val="center"/>
      </w:pPr>
      <w:r w:rsidRPr="00C633B2">
        <w:rPr>
          <w:rFonts w:eastAsia="Times New Roman" w:cs="Times New Roman"/>
          <w:b/>
          <w:bCs/>
          <w:sz w:val="36"/>
          <w:szCs w:val="36"/>
        </w:rPr>
        <w:t>Česká zemědělská univerzita v Praze</w:t>
      </w:r>
    </w:p>
    <w:p w14:paraId="512AFEDB" w14:textId="77777777" w:rsidR="00F1600A" w:rsidRPr="00C633B2" w:rsidRDefault="00F1600A" w:rsidP="00F1600A">
      <w:pPr>
        <w:jc w:val="center"/>
        <w:rPr>
          <w:rFonts w:eastAsia="Times New Roman" w:cs="Times New Roman"/>
          <w:b/>
          <w:bCs/>
          <w:sz w:val="36"/>
          <w:szCs w:val="36"/>
        </w:rPr>
      </w:pPr>
      <w:r w:rsidRPr="00C633B2">
        <w:rPr>
          <w:rFonts w:eastAsia="Times New Roman" w:cs="Times New Roman"/>
          <w:b/>
          <w:bCs/>
          <w:sz w:val="36"/>
          <w:szCs w:val="36"/>
        </w:rPr>
        <w:t xml:space="preserve"> Provozně ekonomická fakulta</w:t>
      </w:r>
    </w:p>
    <w:p w14:paraId="7980058D" w14:textId="77777777" w:rsidR="00F1600A" w:rsidRPr="00C633B2" w:rsidRDefault="00F1600A" w:rsidP="00F1600A">
      <w:pPr>
        <w:jc w:val="center"/>
      </w:pPr>
    </w:p>
    <w:p w14:paraId="3F61E4F0" w14:textId="77777777" w:rsidR="00F1600A" w:rsidRPr="00C633B2" w:rsidRDefault="00F1600A" w:rsidP="00F1600A">
      <w:pPr>
        <w:jc w:val="center"/>
      </w:pPr>
      <w:r w:rsidRPr="00C633B2">
        <w:rPr>
          <w:rFonts w:eastAsia="Times New Roman" w:cs="Times New Roman"/>
          <w:b/>
          <w:bCs/>
          <w:sz w:val="36"/>
          <w:szCs w:val="36"/>
        </w:rPr>
        <w:t xml:space="preserve"> </w:t>
      </w:r>
      <w:r w:rsidRPr="00C633B2">
        <w:rPr>
          <w:noProof/>
          <w:lang w:eastAsia="cs-CZ"/>
        </w:rPr>
        <w:drawing>
          <wp:inline distT="0" distB="0" distL="0" distR="0" wp14:anchorId="2AF9A035" wp14:editId="4583D8F6">
            <wp:extent cx="4124325" cy="2733675"/>
            <wp:effectExtent l="0" t="0" r="0" b="0"/>
            <wp:docPr id="144814301" name="Picture 14481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143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8A8A0" w14:textId="77777777" w:rsidR="00F1600A" w:rsidRPr="00C633B2" w:rsidRDefault="00F1600A" w:rsidP="00F1600A">
      <w:pPr>
        <w:jc w:val="center"/>
        <w:rPr>
          <w:rFonts w:eastAsia="Times New Roman" w:cs="Times New Roman"/>
          <w:b/>
          <w:sz w:val="40"/>
          <w:szCs w:val="40"/>
        </w:rPr>
      </w:pPr>
    </w:p>
    <w:p w14:paraId="6089C901" w14:textId="77777777" w:rsidR="00F1600A" w:rsidRPr="00C633B2" w:rsidRDefault="00F1600A" w:rsidP="00F1600A">
      <w:pPr>
        <w:jc w:val="center"/>
        <w:rPr>
          <w:rFonts w:eastAsia="Times New Roman" w:cs="Times New Roman"/>
          <w:b/>
          <w:sz w:val="40"/>
          <w:szCs w:val="40"/>
        </w:rPr>
      </w:pPr>
      <w:r w:rsidRPr="00C633B2">
        <w:rPr>
          <w:rFonts w:eastAsia="Times New Roman" w:cs="Times New Roman"/>
          <w:b/>
          <w:sz w:val="40"/>
          <w:szCs w:val="40"/>
        </w:rPr>
        <w:t>Antropologie náboženství – Semestrální</w:t>
      </w:r>
      <w:r w:rsidRPr="00C633B2">
        <w:rPr>
          <w:rFonts w:eastAsia="Times New Roman" w:cs="Times New Roman"/>
          <w:b/>
          <w:bCs/>
          <w:sz w:val="36"/>
          <w:szCs w:val="36"/>
        </w:rPr>
        <w:t xml:space="preserve"> práce </w:t>
      </w:r>
    </w:p>
    <w:p w14:paraId="20F12520" w14:textId="72586BD6" w:rsidR="00F1600A" w:rsidRPr="00C633B2" w:rsidRDefault="00F1600A" w:rsidP="00F1600A">
      <w:pPr>
        <w:jc w:val="center"/>
        <w:rPr>
          <w:rFonts w:eastAsia="Times New Roman" w:cs="Times New Roman"/>
          <w:sz w:val="32"/>
          <w:szCs w:val="32"/>
        </w:rPr>
      </w:pPr>
      <w:r w:rsidRPr="00C633B2">
        <w:rPr>
          <w:rFonts w:eastAsia="Times New Roman" w:cs="Times New Roman"/>
          <w:b/>
          <w:bCs/>
          <w:sz w:val="32"/>
          <w:szCs w:val="32"/>
        </w:rPr>
        <w:t>Téma:</w:t>
      </w:r>
      <w:r w:rsidRPr="00C633B2">
        <w:rPr>
          <w:rFonts w:eastAsia="Times New Roman" w:cs="Times New Roman"/>
          <w:sz w:val="32"/>
          <w:szCs w:val="32"/>
        </w:rPr>
        <w:t xml:space="preserve"> </w:t>
      </w:r>
      <w:r w:rsidRPr="00F1600A">
        <w:rPr>
          <w:rFonts w:eastAsia="Times New Roman" w:cs="Times New Roman"/>
          <w:sz w:val="32"/>
          <w:szCs w:val="32"/>
        </w:rPr>
        <w:t>Bar micva: židovský rituál přeměny chlapce na muže</w:t>
      </w:r>
    </w:p>
    <w:p w14:paraId="5E29F678" w14:textId="77777777" w:rsidR="00F1600A" w:rsidRPr="00C633B2" w:rsidRDefault="00F1600A" w:rsidP="00F1600A">
      <w:pPr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AE13C21" w14:textId="77777777" w:rsidR="00F1600A" w:rsidRPr="00C633B2" w:rsidRDefault="00F1600A" w:rsidP="00F1600A">
      <w:pPr>
        <w:rPr>
          <w:rFonts w:eastAsia="Times New Roman" w:cs="Times New Roman"/>
          <w:sz w:val="28"/>
          <w:szCs w:val="28"/>
        </w:rPr>
      </w:pPr>
    </w:p>
    <w:p w14:paraId="7DCC6BFE" w14:textId="77777777" w:rsidR="00F1600A" w:rsidRPr="00C633B2" w:rsidRDefault="00F1600A" w:rsidP="00F1600A">
      <w:pPr>
        <w:rPr>
          <w:rFonts w:eastAsia="Times New Roman" w:cs="Times New Roman"/>
          <w:sz w:val="28"/>
          <w:szCs w:val="28"/>
        </w:rPr>
      </w:pPr>
    </w:p>
    <w:p w14:paraId="2657DD58" w14:textId="77777777" w:rsidR="00F1600A" w:rsidRPr="00C633B2" w:rsidRDefault="00F1600A" w:rsidP="00F1600A">
      <w:pPr>
        <w:rPr>
          <w:rFonts w:eastAsia="Times New Roman" w:cs="Times New Roman"/>
          <w:sz w:val="28"/>
          <w:szCs w:val="28"/>
        </w:rPr>
      </w:pPr>
    </w:p>
    <w:p w14:paraId="13D34C5E" w14:textId="77777777" w:rsidR="00F1600A" w:rsidRPr="00C633B2" w:rsidRDefault="00F1600A" w:rsidP="00F1600A">
      <w:pPr>
        <w:rPr>
          <w:rFonts w:eastAsia="Times New Roman" w:cs="Times New Roman"/>
          <w:sz w:val="28"/>
          <w:szCs w:val="28"/>
        </w:rPr>
      </w:pPr>
    </w:p>
    <w:p w14:paraId="2C256BFF" w14:textId="6FFDBE33" w:rsidR="00F1600A" w:rsidRPr="00C633B2" w:rsidRDefault="00F1600A" w:rsidP="00F1600A">
      <w:pPr>
        <w:rPr>
          <w:rFonts w:eastAsia="Times New Roman" w:cs="Times New Roman"/>
          <w:szCs w:val="24"/>
        </w:rPr>
      </w:pPr>
      <w:r w:rsidRPr="00C633B2">
        <w:rPr>
          <w:rFonts w:eastAsia="Times New Roman" w:cs="Times New Roman"/>
          <w:szCs w:val="24"/>
        </w:rPr>
        <w:t xml:space="preserve">Vypracovali: </w:t>
      </w:r>
      <w:r>
        <w:rPr>
          <w:rFonts w:eastAsia="Times New Roman" w:cs="Times New Roman"/>
          <w:szCs w:val="24"/>
        </w:rPr>
        <w:t>David Kubík, Kateřina Kasalická</w:t>
      </w:r>
    </w:p>
    <w:p w14:paraId="32ACD1CE" w14:textId="77777777" w:rsidR="00F1600A" w:rsidRPr="00C633B2" w:rsidRDefault="00F1600A" w:rsidP="00F1600A">
      <w:pPr>
        <w:rPr>
          <w:rFonts w:eastAsia="Times New Roman" w:cs="Times New Roman"/>
          <w:szCs w:val="24"/>
        </w:rPr>
      </w:pPr>
      <w:r w:rsidRPr="00C633B2">
        <w:rPr>
          <w:rFonts w:eastAsia="Times New Roman" w:cs="Times New Roman"/>
          <w:szCs w:val="24"/>
        </w:rPr>
        <w:t>Leden 2022</w:t>
      </w:r>
    </w:p>
    <w:p w14:paraId="5F952DF0" w14:textId="77777777" w:rsidR="00F1600A" w:rsidRDefault="00F1600A">
      <w:pPr>
        <w:spacing w:line="259" w:lineRule="auto"/>
        <w:jc w:val="left"/>
      </w:pPr>
    </w:p>
    <w:sdt>
      <w:sdtPr>
        <w:id w:val="94219268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4"/>
          <w:szCs w:val="22"/>
          <w:lang w:eastAsia="en-US"/>
        </w:rPr>
      </w:sdtEndPr>
      <w:sdtContent>
        <w:p w14:paraId="5C196D29" w14:textId="594D3AA0" w:rsidR="00F1600A" w:rsidRDefault="00F1600A">
          <w:pPr>
            <w:pStyle w:val="Nadpisobsahu"/>
          </w:pPr>
          <w:r>
            <w:t>Obsah</w:t>
          </w:r>
        </w:p>
        <w:p w14:paraId="7BD88280" w14:textId="5531BE9E" w:rsidR="0065551B" w:rsidRDefault="00F1600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265063" w:history="1">
            <w:r w:rsidR="0065551B" w:rsidRPr="00480777">
              <w:rPr>
                <w:rStyle w:val="Hypertextovodkaz"/>
                <w:noProof/>
              </w:rPr>
              <w:t>Úvod</w:t>
            </w:r>
            <w:r w:rsidR="0065551B">
              <w:rPr>
                <w:noProof/>
                <w:webHidden/>
              </w:rPr>
              <w:tab/>
            </w:r>
            <w:r w:rsidR="0065551B">
              <w:rPr>
                <w:noProof/>
                <w:webHidden/>
              </w:rPr>
              <w:fldChar w:fldCharType="begin"/>
            </w:r>
            <w:r w:rsidR="0065551B">
              <w:rPr>
                <w:noProof/>
                <w:webHidden/>
              </w:rPr>
              <w:instrText xml:space="preserve"> PAGEREF _Toc93265063 \h </w:instrText>
            </w:r>
            <w:r w:rsidR="0065551B">
              <w:rPr>
                <w:noProof/>
                <w:webHidden/>
              </w:rPr>
            </w:r>
            <w:r w:rsidR="0065551B">
              <w:rPr>
                <w:noProof/>
                <w:webHidden/>
              </w:rPr>
              <w:fldChar w:fldCharType="separate"/>
            </w:r>
            <w:r w:rsidR="0065551B">
              <w:rPr>
                <w:noProof/>
                <w:webHidden/>
              </w:rPr>
              <w:t>3</w:t>
            </w:r>
            <w:r w:rsidR="0065551B">
              <w:rPr>
                <w:noProof/>
                <w:webHidden/>
              </w:rPr>
              <w:fldChar w:fldCharType="end"/>
            </w:r>
          </w:hyperlink>
        </w:p>
        <w:p w14:paraId="3C135C31" w14:textId="35176ACB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64" w:history="1">
            <w:r w:rsidRPr="00480777">
              <w:rPr>
                <w:rStyle w:val="Hypertextovodkaz"/>
                <w:noProof/>
              </w:rPr>
              <w:t>Cíl práce a metodika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488A9" w14:textId="144CA644" w:rsidR="0065551B" w:rsidRDefault="0065551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65" w:history="1">
            <w:r w:rsidRPr="00480777">
              <w:rPr>
                <w:rStyle w:val="Hypertextovodkaz"/>
                <w:noProof/>
              </w:rPr>
              <w:t>Cíl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B9277" w14:textId="7B85E869" w:rsidR="0065551B" w:rsidRDefault="0065551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66" w:history="1">
            <w:r w:rsidRPr="00480777">
              <w:rPr>
                <w:rStyle w:val="Hypertextovodkaz"/>
                <w:noProof/>
              </w:rPr>
              <w:t>Metodika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E9541" w14:textId="6C670DC4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67" w:history="1">
            <w:r w:rsidRPr="00480777">
              <w:rPr>
                <w:rStyle w:val="Hypertextovodkaz"/>
                <w:noProof/>
              </w:rPr>
              <w:t>TEORETICKÁ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0B707" w14:textId="75B34199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68" w:history="1">
            <w:r w:rsidRPr="00480777">
              <w:rPr>
                <w:rStyle w:val="Hypertextovodkaz"/>
                <w:noProof/>
              </w:rPr>
              <w:t>Přechodový rituál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A6E45" w14:textId="7E98EC9A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69" w:history="1">
            <w:r w:rsidRPr="00480777">
              <w:rPr>
                <w:rStyle w:val="Hypertextovodkaz"/>
                <w:noProof/>
              </w:rPr>
              <w:t>Iniciační rituál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5281A" w14:textId="70F8426D" w:rsidR="0065551B" w:rsidRDefault="0065551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70" w:history="1">
            <w:r w:rsidRPr="00480777">
              <w:rPr>
                <w:rStyle w:val="Hypertextovodkaz"/>
                <w:noProof/>
              </w:rPr>
              <w:t>Rituály puberty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061E1" w14:textId="3CEB5354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71" w:history="1">
            <w:r w:rsidRPr="00480777">
              <w:rPr>
                <w:rStyle w:val="Hypertextovodkaz"/>
                <w:noProof/>
              </w:rPr>
              <w:t>Židovský rituál bar micva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7FF48" w14:textId="57A97C01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72" w:history="1">
            <w:r w:rsidRPr="00480777">
              <w:rPr>
                <w:rStyle w:val="Hypertextovodkaz"/>
                <w:noProof/>
              </w:rPr>
              <w:t>Porovnání bar micva a bat micva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94173" w14:textId="3759FC4F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73" w:history="1">
            <w:r w:rsidRPr="00480777">
              <w:rPr>
                <w:rStyle w:val="Hypertextovodkaz"/>
                <w:noProof/>
              </w:rPr>
              <w:t>PRAKTICKÁ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0BFE1" w14:textId="0DA171F9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74" w:history="1">
            <w:r w:rsidRPr="00480777">
              <w:rPr>
                <w:rStyle w:val="Hypertextovodkaz"/>
                <w:noProof/>
              </w:rPr>
              <w:t>Výsledky dotazníkového šetření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DF22F" w14:textId="110CAD85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75" w:history="1">
            <w:r w:rsidRPr="00480777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0A793" w14:textId="7713F75D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76" w:history="1">
            <w:r w:rsidRPr="00480777">
              <w:rPr>
                <w:rStyle w:val="Hypertextovodkaz"/>
                <w:noProof/>
              </w:rPr>
              <w:t>Primární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99C93" w14:textId="7C5ADD8C" w:rsidR="0065551B" w:rsidRDefault="0065551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3265077" w:history="1">
            <w:r w:rsidRPr="00480777">
              <w:rPr>
                <w:rStyle w:val="Hypertextovodkaz"/>
                <w:noProof/>
              </w:rPr>
              <w:t>Sekundární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_Toc93265077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DAA17" w14:textId="28B89C14" w:rsidR="00F1600A" w:rsidRDefault="00F1600A">
          <w:r>
            <w:rPr>
              <w:b/>
              <w:bCs/>
            </w:rPr>
            <w:fldChar w:fldCharType="end"/>
          </w:r>
        </w:p>
      </w:sdtContent>
    </w:sdt>
    <w:p w14:paraId="0025924F" w14:textId="77777777" w:rsidR="00F1600A" w:rsidRDefault="00F1600A">
      <w:pPr>
        <w:spacing w:line="259" w:lineRule="auto"/>
        <w:jc w:val="left"/>
      </w:pPr>
    </w:p>
    <w:p w14:paraId="12C8B019" w14:textId="77777777" w:rsidR="00F1600A" w:rsidRDefault="00F1600A">
      <w:pPr>
        <w:spacing w:line="259" w:lineRule="auto"/>
        <w:jc w:val="left"/>
      </w:pPr>
      <w:r>
        <w:br w:type="page"/>
      </w:r>
    </w:p>
    <w:p w14:paraId="4D315E24" w14:textId="4EF47210" w:rsidR="00542654" w:rsidRDefault="00542654" w:rsidP="004575BA">
      <w:pPr>
        <w:pStyle w:val="Nadpis1"/>
      </w:pPr>
      <w:bookmarkStart w:id="0" w:name="_Toc93265063"/>
      <w:r>
        <w:lastRenderedPageBreak/>
        <w:t>Úvod</w:t>
      </w:r>
      <w:bookmarkEnd w:id="0"/>
    </w:p>
    <w:p w14:paraId="43BB6D47" w14:textId="5E47C983" w:rsidR="00E318AD" w:rsidRDefault="00E318AD" w:rsidP="00001048">
      <w:pPr>
        <w:ind w:firstLine="708"/>
      </w:pPr>
      <w:r>
        <w:t xml:space="preserve">Židovství stálo na počátku chápání našeho dnešního světa. Od toho náboženství odvozujeme evropskou židovsko-křesťanskou tradici. Je velmi starobylé a zachovalo si mnoho tradic v každodenním životě, které z našeho moderního světa vymizely. I když se mnohé změnilo je do jisté míry zprostředkovatelem vidění minulosti lidské společnosti. </w:t>
      </w:r>
      <w:r w:rsidR="00001048">
        <w:t xml:space="preserve">Jedním z rituálů, který již nehraje roli v dnešním světě je přechodový rituál dospívání. Na místě je otázka, zda obdržení občanského průkazu nebo nabití plnoletosti zákonem je dostatečným ekvivalentem důležitého přechodu z dětského světa do světa dospělých. Zda nám rituál této psychologické, duševní a společenské přeměny nechybí </w:t>
      </w:r>
      <w:r w:rsidR="00F55EB0">
        <w:t>k</w:t>
      </w:r>
      <w:r w:rsidR="00001048">
        <w:t xml:space="preserve"> rovnováze společnosti. </w:t>
      </w:r>
    </w:p>
    <w:p w14:paraId="18ABCFF5" w14:textId="0A99E6A1" w:rsidR="00542654" w:rsidRDefault="00542654" w:rsidP="004575BA">
      <w:pPr>
        <w:pStyle w:val="Nadpis1"/>
      </w:pPr>
      <w:bookmarkStart w:id="1" w:name="_Toc93265064"/>
      <w:r>
        <w:t>Cíl práce a metodika</w:t>
      </w:r>
      <w:bookmarkEnd w:id="1"/>
    </w:p>
    <w:p w14:paraId="723D5D3B" w14:textId="139B77EF" w:rsidR="00542654" w:rsidRDefault="00542654" w:rsidP="004575BA">
      <w:pPr>
        <w:pStyle w:val="Nadpis2"/>
      </w:pPr>
      <w:bookmarkStart w:id="2" w:name="_Toc93265065"/>
      <w:r>
        <w:t>Cíl</w:t>
      </w:r>
      <w:bookmarkEnd w:id="2"/>
    </w:p>
    <w:p w14:paraId="22B110FB" w14:textId="6308FDB1" w:rsidR="003E0008" w:rsidRDefault="00542654" w:rsidP="00F7275B">
      <w:pPr>
        <w:ind w:firstLine="708"/>
      </w:pPr>
      <w:r>
        <w:t xml:space="preserve">Hlavním cílem seminární práce je zjistit povědomí o rituálu bar micva </w:t>
      </w:r>
      <w:r w:rsidR="00A93923">
        <w:t>ve vzorku společnosti</w:t>
      </w:r>
      <w:r>
        <w:t xml:space="preserve">. Práce má za úkol vyvrátit nebo potvrdit </w:t>
      </w:r>
      <w:r w:rsidR="006D1D4B">
        <w:t>domněnku</w:t>
      </w:r>
      <w:r>
        <w:t xml:space="preserve"> autorů, kteří si myslí, že </w:t>
      </w:r>
      <w:r w:rsidR="006D1D4B">
        <w:t>lidé o tomto</w:t>
      </w:r>
      <w:r w:rsidR="00BC7BB2">
        <w:t xml:space="preserve"> židovském</w:t>
      </w:r>
      <w:r w:rsidR="006D1D4B">
        <w:t xml:space="preserve"> rituálu</w:t>
      </w:r>
      <w:r w:rsidR="00BC7BB2">
        <w:t xml:space="preserve"> mají menší přehled</w:t>
      </w:r>
      <w:r w:rsidR="006D1D4B">
        <w:t>.</w:t>
      </w:r>
      <w:r w:rsidR="003E0008">
        <w:t xml:space="preserve"> </w:t>
      </w:r>
      <w:r w:rsidR="007A6A7C">
        <w:t>Dílčím cílem práce je popsat</w:t>
      </w:r>
      <w:r w:rsidR="00A93923">
        <w:t xml:space="preserve"> jak</w:t>
      </w:r>
      <w:r w:rsidR="007A6A7C">
        <w:t xml:space="preserve"> rituál jako takový</w:t>
      </w:r>
      <w:r w:rsidR="00A93923">
        <w:t>, tak i</w:t>
      </w:r>
      <w:r w:rsidR="007A6A7C">
        <w:t xml:space="preserve"> rozdíly mezi bar micva a bat micva.</w:t>
      </w:r>
    </w:p>
    <w:p w14:paraId="7204CF39" w14:textId="77777777" w:rsidR="003E0008" w:rsidRDefault="003E0008" w:rsidP="004575BA">
      <w:pPr>
        <w:pStyle w:val="Nadpis2"/>
      </w:pPr>
      <w:bookmarkStart w:id="3" w:name="_Toc93265066"/>
      <w:r>
        <w:t>Metodika</w:t>
      </w:r>
      <w:bookmarkEnd w:id="3"/>
    </w:p>
    <w:p w14:paraId="4E54B961" w14:textId="46ACA907" w:rsidR="0039420F" w:rsidRDefault="003E0008" w:rsidP="00F7275B">
      <w:pPr>
        <w:ind w:firstLine="708"/>
      </w:pPr>
      <w:r>
        <w:t xml:space="preserve">Semestrální práce se bude skládat ze dvou částí. První část bude charakterizovat přechodový a iniciační rituál z obecného hlediska. Dále zde bude popsán samotný obřad bar micva a v neposlední řadě i porovnání </w:t>
      </w:r>
      <w:r w:rsidR="00F7275B">
        <w:t>rituálů bar micva a bat micva.</w:t>
      </w:r>
      <w:r w:rsidR="00B5569A">
        <w:t xml:space="preserve"> Pro tuto část práce </w:t>
      </w:r>
      <w:r w:rsidR="00CC3A95">
        <w:t xml:space="preserve">se využije studium materiálů – </w:t>
      </w:r>
      <w:r w:rsidR="00CC3A95" w:rsidRPr="009A2B48">
        <w:t>knihy, odborné články</w:t>
      </w:r>
      <w:r w:rsidR="009A2B48" w:rsidRPr="009A2B48">
        <w:t>, audiovizuální</w:t>
      </w:r>
      <w:r w:rsidR="009A2B48">
        <w:t xml:space="preserve"> prameny a další</w:t>
      </w:r>
      <w:r w:rsidR="00CC3A95">
        <w:t>.</w:t>
      </w:r>
      <w:r w:rsidR="00F7275B">
        <w:tab/>
      </w:r>
      <w:r w:rsidR="00F7275B">
        <w:tab/>
        <w:t>Druhá část</w:t>
      </w:r>
      <w:r w:rsidR="0063156F">
        <w:t xml:space="preserve"> se</w:t>
      </w:r>
      <w:r w:rsidR="00BC7BB2">
        <w:t xml:space="preserve"> bude</w:t>
      </w:r>
      <w:r w:rsidR="0063156F">
        <w:t xml:space="preserve"> věn</w:t>
      </w:r>
      <w:r w:rsidR="00BC7BB2">
        <w:t>ovat</w:t>
      </w:r>
      <w:r w:rsidR="0063156F">
        <w:t xml:space="preserve"> našemu výzkumu ve společnosti. Bude zde </w:t>
      </w:r>
      <w:r w:rsidR="00BC7BB2">
        <w:t>ověřena nebo vyvrácena</w:t>
      </w:r>
      <w:r w:rsidR="0063156F">
        <w:t xml:space="preserve"> </w:t>
      </w:r>
      <w:r w:rsidR="0039420F">
        <w:t>hypotéza</w:t>
      </w:r>
      <w:r w:rsidR="0063156F">
        <w:t xml:space="preserve"> autorů.</w:t>
      </w:r>
      <w:r w:rsidR="00CC3A95">
        <w:t xml:space="preserve"> V této části se použije</w:t>
      </w:r>
      <w:r w:rsidR="0039420F">
        <w:t xml:space="preserve"> kvalitativní metoda</w:t>
      </w:r>
      <w:r w:rsidR="00CC3A95">
        <w:t xml:space="preserve"> </w:t>
      </w:r>
      <w:r w:rsidR="0039420F">
        <w:t xml:space="preserve">s technikou </w:t>
      </w:r>
      <w:r w:rsidR="00CC3A95">
        <w:t>dotazníkové</w:t>
      </w:r>
      <w:r w:rsidR="0039420F">
        <w:t>ho</w:t>
      </w:r>
      <w:r w:rsidR="00CC3A95">
        <w:t xml:space="preserve"> šetření</w:t>
      </w:r>
      <w:r w:rsidR="004B1BD8">
        <w:t>.</w:t>
      </w:r>
      <w:r w:rsidR="00307924">
        <w:t xml:space="preserve"> Z nevýhod této metodika je známo, že výsledky nelze zobecnit. Pro naše potřeby byl snížen vypovídající počet respondentů. </w:t>
      </w:r>
    </w:p>
    <w:p w14:paraId="1BD247A8" w14:textId="77777777" w:rsidR="0039420F" w:rsidRDefault="0039420F">
      <w:pPr>
        <w:spacing w:line="259" w:lineRule="auto"/>
        <w:jc w:val="left"/>
      </w:pPr>
      <w:r>
        <w:br w:type="page"/>
      </w:r>
    </w:p>
    <w:p w14:paraId="75FD9D04" w14:textId="44CA2621" w:rsidR="0039420F" w:rsidRDefault="0039420F" w:rsidP="0039420F">
      <w:pPr>
        <w:pStyle w:val="Nadpis1"/>
      </w:pPr>
      <w:bookmarkStart w:id="4" w:name="_Toc93265067"/>
      <w:r>
        <w:lastRenderedPageBreak/>
        <w:t>TEORETICKÁ ČÁST</w:t>
      </w:r>
      <w:bookmarkEnd w:id="4"/>
    </w:p>
    <w:p w14:paraId="249A8293" w14:textId="175E533C" w:rsidR="00515A78" w:rsidRDefault="00515A78" w:rsidP="00BC7BB2">
      <w:pPr>
        <w:pStyle w:val="Nadpis1"/>
      </w:pPr>
      <w:bookmarkStart w:id="5" w:name="_Toc93265068"/>
      <w:r>
        <w:t>Přechodový rituál</w:t>
      </w:r>
      <w:bookmarkEnd w:id="5"/>
    </w:p>
    <w:p w14:paraId="58A58A7F" w14:textId="2541BB1E" w:rsidR="00330794" w:rsidRPr="005623A8" w:rsidRDefault="00330794" w:rsidP="00F7275B">
      <w:pPr>
        <w:ind w:firstLine="708"/>
      </w:pPr>
      <w:r>
        <w:t xml:space="preserve">Co vůbec znamená slovo „rituál“? </w:t>
      </w:r>
      <w:r w:rsidRPr="005623A8">
        <w:t>Rituál</w:t>
      </w:r>
      <w:r>
        <w:t xml:space="preserve"> pochází </w:t>
      </w:r>
      <w:r w:rsidRPr="005623A8">
        <w:t>z latinského</w:t>
      </w:r>
      <w:r w:rsidRPr="00307924">
        <w:rPr>
          <w:i/>
          <w:iCs/>
        </w:rPr>
        <w:t xml:space="preserve"> </w:t>
      </w:r>
      <w:r w:rsidRPr="00D424FE">
        <w:rPr>
          <w:i/>
          <w:iCs/>
        </w:rPr>
        <w:t>ritualis</w:t>
      </w:r>
      <w:r w:rsidRPr="00D424FE">
        <w:t xml:space="preserve"> - "týkající se ritu".</w:t>
      </w:r>
      <w:r>
        <w:t xml:space="preserve"> Jedná se o obřad, který probíhá</w:t>
      </w:r>
      <w:r w:rsidRPr="005623A8">
        <w:t xml:space="preserve"> podle předem daných linií</w:t>
      </w:r>
      <w:r>
        <w:t xml:space="preserve"> a</w:t>
      </w:r>
      <w:r w:rsidRPr="005623A8">
        <w:t xml:space="preserve"> vyznačuje</w:t>
      </w:r>
      <w:r>
        <w:t xml:space="preserve"> se</w:t>
      </w:r>
      <w:r w:rsidRPr="005623A8">
        <w:t xml:space="preserve"> vysokým symbolickým obsahem.</w:t>
      </w:r>
      <w:r>
        <w:t xml:space="preserve"> Může být doprovázen gesty, tancem nebo i</w:t>
      </w:r>
      <w:r w:rsidR="00D424FE">
        <w:t xml:space="preserve"> slovní formulí.</w:t>
      </w:r>
      <w:r>
        <w:t xml:space="preserve"> </w:t>
      </w:r>
      <w:r w:rsidRPr="005623A8">
        <w:t xml:space="preserve">Rituál může být </w:t>
      </w:r>
      <w:r w:rsidRPr="00D424FE">
        <w:t>spirituální</w:t>
      </w:r>
      <w:r w:rsidR="00D424FE" w:rsidRPr="00D424FE">
        <w:t xml:space="preserve"> </w:t>
      </w:r>
      <w:r w:rsidRPr="00D424FE">
        <w:t>či</w:t>
      </w:r>
      <w:r w:rsidRPr="005623A8">
        <w:t xml:space="preserve"> náboženské povahy</w:t>
      </w:r>
      <w:r>
        <w:t xml:space="preserve">. V dnešním světě se dá za rituál považovat i například </w:t>
      </w:r>
      <w:r w:rsidRPr="005623A8">
        <w:t>specifický druh pozdravu</w:t>
      </w:r>
      <w:r>
        <w:t xml:space="preserve"> či </w:t>
      </w:r>
      <w:r w:rsidRPr="005623A8">
        <w:t>rodinný rituál společné večeře.</w:t>
      </w:r>
    </w:p>
    <w:p w14:paraId="61BF1954" w14:textId="77777777" w:rsidR="00330794" w:rsidRDefault="00330794" w:rsidP="00D35E5A">
      <w:pPr>
        <w:ind w:firstLine="708"/>
      </w:pPr>
      <w:r w:rsidRPr="005623A8">
        <w:t>Ritus je pak část náboženského rituálu, vycházející z předpisu (liturgie) nebo ústní tradice. V češtině se používá toto slovo především ve spojení s křesťanskou liturgií – tedy např. alexandrijský ritus, ritus západní liturgie a</w:t>
      </w:r>
      <w:r>
        <w:t xml:space="preserve"> tak dále.</w:t>
      </w:r>
    </w:p>
    <w:p w14:paraId="7B3B9AA2" w14:textId="016A2BAB" w:rsidR="00330794" w:rsidRDefault="00330794" w:rsidP="00F7275B">
      <w:pPr>
        <w:ind w:firstLine="708"/>
        <w:rPr>
          <w:shd w:val="clear" w:color="auto" w:fill="FFFFFF"/>
        </w:rPr>
      </w:pPr>
      <w:r w:rsidRPr="00E40E5B">
        <w:rPr>
          <w:shd w:val="clear" w:color="auto" w:fill="FFFFFF"/>
        </w:rPr>
        <w:t>Mnoho dnešních rituálů</w:t>
      </w:r>
      <w:r>
        <w:rPr>
          <w:shd w:val="clear" w:color="auto" w:fill="FFFFFF"/>
        </w:rPr>
        <w:t xml:space="preserve"> již není původních, a to hlavně kvůli zapomínání. Rituály, které jsou prováděny například jako atrakce pro turisty, mohou být upravené, aby </w:t>
      </w:r>
      <w:r w:rsidR="00B248D6">
        <w:rPr>
          <w:shd w:val="clear" w:color="auto" w:fill="FFFFFF"/>
        </w:rPr>
        <w:t>se z nich stala</w:t>
      </w:r>
      <w:r>
        <w:rPr>
          <w:shd w:val="clear" w:color="auto" w:fill="FFFFFF"/>
        </w:rPr>
        <w:t xml:space="preserve"> větší „show“ pro diváky. Navíc tradice spojené s dávnými rituály se dají považovat za zcela vymizené ze společnosti.</w:t>
      </w:r>
      <w:r w:rsidRPr="00E40E5B">
        <w:rPr>
          <w:shd w:val="clear" w:color="auto" w:fill="FFFFFF"/>
        </w:rPr>
        <w:t> Mnohdy ovšem tyto ztracené rituály přežívají v pohádkách, bajkách, pořekadlech, lidových písních nebo</w:t>
      </w:r>
      <w:r w:rsidR="00B248D6">
        <w:rPr>
          <w:shd w:val="clear" w:color="auto" w:fill="FFFFFF"/>
        </w:rPr>
        <w:t xml:space="preserve"> </w:t>
      </w:r>
      <w:r w:rsidRPr="00E40E5B">
        <w:rPr>
          <w:shd w:val="clear" w:color="auto" w:fill="FFFFFF"/>
        </w:rPr>
        <w:t>pověrách.</w:t>
      </w:r>
      <w:r>
        <w:rPr>
          <w:shd w:val="clear" w:color="auto" w:fill="FFFFFF"/>
        </w:rPr>
        <w:t xml:space="preserve"> Ovšem i zde se pravděpodobně jedná o upravenou verzi původního rituálu.</w:t>
      </w:r>
    </w:p>
    <w:p w14:paraId="38A82101" w14:textId="70AA1DF9" w:rsidR="00330794" w:rsidRDefault="00330794" w:rsidP="00F7275B">
      <w:pPr>
        <w:ind w:firstLine="708"/>
        <w:rPr>
          <w:shd w:val="clear" w:color="auto" w:fill="FFFFFF"/>
        </w:rPr>
      </w:pPr>
      <w:r w:rsidRPr="00E37CBC">
        <w:rPr>
          <w:shd w:val="clear" w:color="auto" w:fill="FFFFFF"/>
        </w:rPr>
        <w:t xml:space="preserve">Dříve se přechodové rituály </w:t>
      </w:r>
      <w:r>
        <w:rPr>
          <w:shd w:val="clear" w:color="auto" w:fill="FFFFFF"/>
        </w:rPr>
        <w:t>považovaly za událost, kde musí být</w:t>
      </w:r>
      <w:r w:rsidR="00B248D6">
        <w:rPr>
          <w:shd w:val="clear" w:color="auto" w:fill="FFFFFF"/>
        </w:rPr>
        <w:t xml:space="preserve"> přítomen</w:t>
      </w:r>
      <w:r w:rsidRPr="00E37CBC">
        <w:rPr>
          <w:shd w:val="clear" w:color="auto" w:fill="FFFFFF"/>
        </w:rPr>
        <w:t> vždy cel</w:t>
      </w:r>
      <w:r>
        <w:rPr>
          <w:shd w:val="clear" w:color="auto" w:fill="FFFFFF"/>
        </w:rPr>
        <w:t>ý</w:t>
      </w:r>
      <w:r w:rsidRPr="00E37CBC">
        <w:rPr>
          <w:shd w:val="clear" w:color="auto" w:fill="FFFFFF"/>
        </w:rPr>
        <w:t xml:space="preserve"> kmen</w:t>
      </w:r>
      <w:r>
        <w:rPr>
          <w:shd w:val="clear" w:color="auto" w:fill="FFFFFF"/>
        </w:rPr>
        <w:t xml:space="preserve"> či</w:t>
      </w:r>
      <w:r w:rsidRPr="00E37CBC">
        <w:rPr>
          <w:shd w:val="clear" w:color="auto" w:fill="FFFFFF"/>
        </w:rPr>
        <w:t xml:space="preserve"> komunit</w:t>
      </w:r>
      <w:r>
        <w:rPr>
          <w:shd w:val="clear" w:color="auto" w:fill="FFFFFF"/>
        </w:rPr>
        <w:t>a</w:t>
      </w:r>
      <w:r w:rsidRPr="00E37CBC">
        <w:rPr>
          <w:shd w:val="clear" w:color="auto" w:fill="FFFFFF"/>
        </w:rPr>
        <w:t xml:space="preserve">. </w:t>
      </w:r>
      <w:r>
        <w:rPr>
          <w:shd w:val="clear" w:color="auto" w:fill="FFFFFF"/>
        </w:rPr>
        <w:t>Dnes t</w:t>
      </w:r>
      <w:r w:rsidRPr="00E37CBC">
        <w:rPr>
          <w:shd w:val="clear" w:color="auto" w:fill="FFFFFF"/>
        </w:rPr>
        <w:t xml:space="preserve">omu </w:t>
      </w:r>
      <w:r>
        <w:rPr>
          <w:shd w:val="clear" w:color="auto" w:fill="FFFFFF"/>
        </w:rPr>
        <w:t>již</w:t>
      </w:r>
      <w:r w:rsidRPr="00E37CBC">
        <w:rPr>
          <w:shd w:val="clear" w:color="auto" w:fill="FFFFFF"/>
        </w:rPr>
        <w:t xml:space="preserve"> tak není. Ačkoliv společnost stále ještě nabízí některé formy přechodových rituálů (vítání novorozenců, biřmování, dříve nástup do vojenské služby, svatba, pohřeb) </w:t>
      </w:r>
      <w:r>
        <w:rPr>
          <w:shd w:val="clear" w:color="auto" w:fill="FFFFFF"/>
        </w:rPr>
        <w:t xml:space="preserve">nejedná se o totéž, co </w:t>
      </w:r>
      <w:r w:rsidR="00B248D6">
        <w:rPr>
          <w:shd w:val="clear" w:color="auto" w:fill="FFFFFF"/>
        </w:rPr>
        <w:t>v minulosti</w:t>
      </w:r>
      <w:r>
        <w:rPr>
          <w:shd w:val="clear" w:color="auto" w:fill="FFFFFF"/>
        </w:rPr>
        <w:t>.</w:t>
      </w:r>
      <w:r w:rsidRPr="00E37CBC">
        <w:rPr>
          <w:shd w:val="clear" w:color="auto" w:fill="FFFFFF"/>
        </w:rPr>
        <w:t xml:space="preserve"> </w:t>
      </w:r>
    </w:p>
    <w:p w14:paraId="2506E96C" w14:textId="35DA132E" w:rsidR="00330794" w:rsidRPr="002C07F3" w:rsidRDefault="00330794" w:rsidP="00F7275B">
      <w:pPr>
        <w:ind w:firstLine="708"/>
        <w:rPr>
          <w:shd w:val="clear" w:color="auto" w:fill="FFFFFF"/>
        </w:rPr>
      </w:pPr>
      <w:r w:rsidRPr="002C07F3">
        <w:t>Přechodové rituály</w:t>
      </w:r>
      <w:r>
        <w:t xml:space="preserve"> slouží pro</w:t>
      </w:r>
      <w:r w:rsidRPr="002C07F3">
        <w:t xml:space="preserve"> přechod jednotlivce nebo celé skupiny lidí z jednoho společenského stadia do jiného. Francouzský antropolog</w:t>
      </w:r>
      <w:r w:rsidR="00B248D6">
        <w:t xml:space="preserve"> Arnold</w:t>
      </w:r>
      <w:r w:rsidRPr="002C07F3">
        <w:t xml:space="preserve"> van Gennep si na začátku 20</w:t>
      </w:r>
      <w:r>
        <w:t>.</w:t>
      </w:r>
      <w:r w:rsidRPr="002C07F3">
        <w:t xml:space="preserve"> století </w:t>
      </w:r>
      <w:r>
        <w:t>uvědomil</w:t>
      </w:r>
      <w:r w:rsidRPr="002C07F3">
        <w:t xml:space="preserve">, </w:t>
      </w:r>
      <w:r>
        <w:t>jak moc jsou tyto rituály</w:t>
      </w:r>
      <w:r w:rsidRPr="002C07F3">
        <w:t xml:space="preserve"> pro chod společnosti i pro duševní vývoj jednotlivce</w:t>
      </w:r>
      <w:r>
        <w:t xml:space="preserve"> důležité, a to zejména</w:t>
      </w:r>
      <w:r w:rsidRPr="002C07F3">
        <w:t xml:space="preserve"> v předindustriálních společnostech</w:t>
      </w:r>
      <w:r>
        <w:t>.</w:t>
      </w:r>
      <w:r w:rsidR="002D5202">
        <w:rPr>
          <w:rStyle w:val="Znakapoznpodarou"/>
        </w:rPr>
        <w:footnoteReference w:id="1"/>
      </w:r>
    </w:p>
    <w:p w14:paraId="1535A7B5" w14:textId="4015AB8C" w:rsidR="00330794" w:rsidRPr="002C07F3" w:rsidRDefault="00330794" w:rsidP="00F7275B">
      <w:pPr>
        <w:ind w:firstLine="708"/>
      </w:pPr>
      <w:r>
        <w:t>Důležité jsou</w:t>
      </w:r>
      <w:r w:rsidRPr="002C07F3">
        <w:t xml:space="preserve"> především dvě funkce. První z nich je vytvořit bezpečné prostředí pro prostřední, chaotickou a bezbrannou fázi transformace (proměny), kterou jedinec prochází. Každá přechodová transformace se</w:t>
      </w:r>
      <w:r>
        <w:t xml:space="preserve"> skládá</w:t>
      </w:r>
      <w:r w:rsidRPr="002C07F3">
        <w:t xml:space="preserve"> ze tří fází – separace (fáze oddělení se), mezifáze </w:t>
      </w:r>
      <w:r w:rsidRPr="002C07F3">
        <w:lastRenderedPageBreak/>
        <w:t>(liminita, iniciace) a nakonec integrace, t</w:t>
      </w:r>
      <w:r>
        <w:t>o jest</w:t>
      </w:r>
      <w:r w:rsidRPr="002C07F3">
        <w:t xml:space="preserve"> zapojení se do nového stádia života</w:t>
      </w:r>
      <w:r>
        <w:t>, říká Gennep</w:t>
      </w:r>
      <w:r w:rsidRPr="002C07F3">
        <w:t>.</w:t>
      </w:r>
      <w:r w:rsidR="006107A9">
        <w:rPr>
          <w:rStyle w:val="Znakapoznpodarou"/>
        </w:rPr>
        <w:footnoteReference w:id="2"/>
      </w:r>
    </w:p>
    <w:p w14:paraId="1DD6E896" w14:textId="237B29EB" w:rsidR="00330794" w:rsidRDefault="00330794" w:rsidP="00F7275B">
      <w:pPr>
        <w:ind w:firstLine="708"/>
      </w:pPr>
      <w:r w:rsidRPr="002C07F3">
        <w:t xml:space="preserve">Druhá, možná ještě důležitější funkce přechodového rituálu je vědomé prožití změny společenské role. To je důležité zejména pro její přijetí a z toho pak vyplývající </w:t>
      </w:r>
      <w:r>
        <w:t>chopení se</w:t>
      </w:r>
      <w:r w:rsidRPr="002C07F3">
        <w:t xml:space="preserve"> zodpovědnosti a tím i funkce ve společnosti.</w:t>
      </w:r>
      <w:r>
        <w:t xml:space="preserve"> </w:t>
      </w:r>
      <w:r w:rsidRPr="002C07F3">
        <w:t xml:space="preserve">Pokud totiž není přechod vykonán vědomě, může se stát, že jedinec zůstane kdesi na pomezí obou společenských stádií – tedy "v území nikoho". Nestane se tak ani dospělým, ale ani nezůstane dítětem. Z chlapce může namísto "bojovníka" vyrůst dětinsky a egoisticky uvažující </w:t>
      </w:r>
      <w:r w:rsidR="009B0F0D">
        <w:t>jedinec</w:t>
      </w:r>
      <w:r w:rsidRPr="002C07F3">
        <w:t xml:space="preserve">, který odmítá nést zodpovědnost za celek, například za obranu společnosti. Z dívky se bez přechodu "první menstruace" může stát "princezna", která </w:t>
      </w:r>
      <w:r>
        <w:t>používá</w:t>
      </w:r>
      <w:r w:rsidRPr="002C07F3">
        <w:t xml:space="preserve"> svoji ženskost pro své individuální cíle a nežije v souladu s principem zachování života</w:t>
      </w:r>
      <w:r>
        <w:t xml:space="preserve"> a řádu.</w:t>
      </w:r>
      <w:r w:rsidR="00D424FE">
        <w:t xml:space="preserve"> </w:t>
      </w:r>
    </w:p>
    <w:p w14:paraId="046D5F09" w14:textId="1E6F00B7" w:rsidR="00515A78" w:rsidRDefault="00515A78" w:rsidP="00F7275B">
      <w:pPr>
        <w:ind w:firstLine="360"/>
      </w:pPr>
      <w:r>
        <w:t xml:space="preserve">Van Gennep podrobně rozebírá jednotlivé typy přechodových rituálů spojených s životními etapami. </w:t>
      </w:r>
      <w:r w:rsidR="0059706D">
        <w:t>Třídění přechodových rituálů podle Gennepa</w:t>
      </w:r>
      <w:r w:rsidR="009B0F0D">
        <w:t xml:space="preserve"> je následující</w:t>
      </w:r>
      <w:r w:rsidR="0059706D">
        <w:t>:</w:t>
      </w:r>
      <w:r w:rsidR="00D424FE">
        <w:t xml:space="preserve"> </w:t>
      </w:r>
    </w:p>
    <w:p w14:paraId="13D8D18C" w14:textId="27367CE5" w:rsidR="0059706D" w:rsidRDefault="0059706D" w:rsidP="0059706D">
      <w:pPr>
        <w:pStyle w:val="Odstavecseseznamem"/>
        <w:numPr>
          <w:ilvl w:val="0"/>
          <w:numId w:val="1"/>
        </w:numPr>
      </w:pPr>
      <w:r>
        <w:t>Těhotenství a porod – těhotná se nejprve vyčlení ze společnosti za účelem ochrany sebe a dítěte a poté následuje rituál opětovného začlenění do společnosti</w:t>
      </w:r>
      <w:r w:rsidR="00D424FE">
        <w:t xml:space="preserve"> </w:t>
      </w:r>
    </w:p>
    <w:p w14:paraId="33CB45FA" w14:textId="706231EF" w:rsidR="0059706D" w:rsidRDefault="0059706D" w:rsidP="0059706D">
      <w:pPr>
        <w:pStyle w:val="Odstavecseseznamem"/>
        <w:numPr>
          <w:ilvl w:val="0"/>
          <w:numId w:val="1"/>
        </w:numPr>
      </w:pPr>
      <w:r>
        <w:t>Narození a dětství – jedná se o všechna poprvé novorozence – přestřihnutí pupeční šňůry, první nádech, první požití stravy, první stříhání vlasů a mnoho dalšího</w:t>
      </w:r>
      <w:r w:rsidR="00D424FE">
        <w:t xml:space="preserve"> </w:t>
      </w:r>
    </w:p>
    <w:p w14:paraId="14AD030B" w14:textId="02228860" w:rsidR="0059706D" w:rsidRDefault="0059706D" w:rsidP="0059706D">
      <w:pPr>
        <w:pStyle w:val="Odstavecseseznamem"/>
        <w:numPr>
          <w:ilvl w:val="0"/>
          <w:numId w:val="1"/>
        </w:numPr>
      </w:pPr>
      <w:r>
        <w:t>Iniciační rituály – obřízka, křest, přijetí do určitých tříd či kast</w:t>
      </w:r>
      <w:r w:rsidR="00D424FE">
        <w:t xml:space="preserve"> </w:t>
      </w:r>
    </w:p>
    <w:p w14:paraId="2C10C91F" w14:textId="01D689BE" w:rsidR="00291505" w:rsidRDefault="0059706D" w:rsidP="0059706D">
      <w:pPr>
        <w:pStyle w:val="Odstavecseseznamem"/>
        <w:numPr>
          <w:ilvl w:val="0"/>
          <w:numId w:val="1"/>
        </w:numPr>
      </w:pPr>
      <w:r>
        <w:t>Zásnubní a svatební obřady – změna společenské kategorie, změna bydliště (obou novomanželů nebo jen jednoho)</w:t>
      </w:r>
      <w:r w:rsidR="00291505">
        <w:t>, darování prstenů, dají si navzájem najíst</w:t>
      </w:r>
      <w:r w:rsidR="00D424FE">
        <w:t xml:space="preserve"> </w:t>
      </w:r>
    </w:p>
    <w:p w14:paraId="43F6F464" w14:textId="158E2570" w:rsidR="0059706D" w:rsidRDefault="00291505" w:rsidP="0059706D">
      <w:pPr>
        <w:pStyle w:val="Odstavecseseznamem"/>
        <w:numPr>
          <w:ilvl w:val="0"/>
          <w:numId w:val="1"/>
        </w:numPr>
      </w:pPr>
      <w:r>
        <w:t>Pohřební obřady – omytí a pomazání mrtvého těla, vykopání hrobu nebo spálení a vložení popela do urny, hřbitov, hostina při vzpomínkové události na mrtvého, doba smutku a truchlení</w:t>
      </w:r>
      <w:r w:rsidR="0059706D">
        <w:t xml:space="preserve"> </w:t>
      </w:r>
      <w:r w:rsidR="006107A9">
        <w:rPr>
          <w:rStyle w:val="Znakapoznpodarou"/>
        </w:rPr>
        <w:footnoteReference w:id="3"/>
      </w:r>
    </w:p>
    <w:p w14:paraId="23867974" w14:textId="38140004" w:rsidR="00E32750" w:rsidRDefault="00E32750" w:rsidP="00307924">
      <w:pPr>
        <w:pStyle w:val="Nadpis1"/>
      </w:pPr>
      <w:bookmarkStart w:id="6" w:name="_Toc93265069"/>
      <w:r>
        <w:t>Iniciační rituál</w:t>
      </w:r>
      <w:bookmarkEnd w:id="6"/>
    </w:p>
    <w:p w14:paraId="6981465E" w14:textId="6D77C7BD" w:rsidR="00A51E98" w:rsidRDefault="00E32750" w:rsidP="00F7275B">
      <w:pPr>
        <w:ind w:firstLine="708"/>
      </w:pPr>
      <w:r>
        <w:t xml:space="preserve">Právě do iniciačního rituálu spadá i téma naší práce – bar micva. </w:t>
      </w:r>
      <w:r w:rsidR="00515A78">
        <w:t xml:space="preserve">Slovo iniciace znamená nový začátek a pochází z latinského </w:t>
      </w:r>
      <w:r w:rsidR="00515A78" w:rsidRPr="009B0F0D">
        <w:rPr>
          <w:i/>
          <w:iCs/>
        </w:rPr>
        <w:t>initium</w:t>
      </w:r>
      <w:r w:rsidR="00515A78">
        <w:t xml:space="preserve">. Prostřednictvím </w:t>
      </w:r>
      <w:r>
        <w:t xml:space="preserve">přechodného obřadu je osoba </w:t>
      </w:r>
      <w:r>
        <w:lastRenderedPageBreak/>
        <w:t>oddělena od jednoho společenského či náboženského postavení a začleněna do jiného. Tato radikální transformace je tedy symbolizována jako znovuzrození. Staré postavení a s ním i osoba musí zaniknout, aby mohla být vytvořena postava nová s novým postavením.</w:t>
      </w:r>
      <w:r w:rsidR="00D424FE">
        <w:t xml:space="preserve"> </w:t>
      </w:r>
    </w:p>
    <w:p w14:paraId="435066F6" w14:textId="037455BD" w:rsidR="007321DF" w:rsidRDefault="00A51E98" w:rsidP="00F7275B">
      <w:pPr>
        <w:ind w:firstLine="708"/>
      </w:pPr>
      <w:r>
        <w:t xml:space="preserve">Studiu iniciačních rituálů se věnovali zejména muži, a to hlavně </w:t>
      </w:r>
      <w:r w:rsidR="009B0F0D">
        <w:t>u</w:t>
      </w:r>
      <w:r>
        <w:t> primitivní</w:t>
      </w:r>
      <w:r w:rsidR="009B0F0D">
        <w:t xml:space="preserve">ch </w:t>
      </w:r>
      <w:r>
        <w:t xml:space="preserve">společnosti. Je to dáno hlavně tím, že velká většina etnologů, antropologů a dalších pozorovatelů byla mužského pohlaví, a tak měli i lepší přístup k tajným rituálům vlastního pohlaví. </w:t>
      </w:r>
      <w:r w:rsidR="00BF5EC2">
        <w:t>Obecně se dá říct, že mužské iniciační rituály jsou propracovanější a důslednější než ty ženské. Dají se rozřadit do třech kategorií. První kategorií jsou obřady puberty neboli přechod z chlapce na muže. Druhá kategorie se dá popsat jako zasvěcení do tajných bratrstev a společností. Poslední kategorii tvoří řeholní povolání a mystično.</w:t>
      </w:r>
      <w:r w:rsidR="00D424FE">
        <w:t xml:space="preserve"> </w:t>
      </w:r>
      <w:r w:rsidR="009326D1">
        <w:rPr>
          <w:rStyle w:val="Znakapoznpodarou"/>
        </w:rPr>
        <w:footnoteReference w:id="4"/>
      </w:r>
    </w:p>
    <w:p w14:paraId="41D0DA9C" w14:textId="77777777" w:rsidR="007321DF" w:rsidRDefault="007321DF" w:rsidP="00307924">
      <w:pPr>
        <w:pStyle w:val="Nadpis2"/>
      </w:pPr>
      <w:bookmarkStart w:id="7" w:name="_Toc93265070"/>
      <w:r>
        <w:t>Rituály puberty</w:t>
      </w:r>
      <w:bookmarkEnd w:id="7"/>
    </w:p>
    <w:p w14:paraId="579E241C" w14:textId="5B5BE360" w:rsidR="00AA2E10" w:rsidRDefault="00423045" w:rsidP="00F7275B">
      <w:pPr>
        <w:ind w:firstLine="708"/>
      </w:pPr>
      <w:r>
        <w:t>Tyto rituály jsou často povinné v primitivních společnostech a musí se zkrátka dodržovat. Jedná se o přechod z dětství nebo dospívání do stádia mužství. Chlapec je oddělen od světa matky a ostatních dětí a vystupuje jako muž ve společnosti mužů. U chlapců nedochází k tolika biologický</w:t>
      </w:r>
      <w:r w:rsidR="009B0F0D">
        <w:t>m</w:t>
      </w:r>
      <w:r>
        <w:t xml:space="preserve"> změn</w:t>
      </w:r>
      <w:r w:rsidR="009B0F0D">
        <w:t>ám</w:t>
      </w:r>
      <w:r>
        <w:t xml:space="preserve"> jako u dívek, takže jsou přechody spíše kulturního</w:t>
      </w:r>
      <w:r w:rsidR="009B0F0D">
        <w:t xml:space="preserve"> a psychologického</w:t>
      </w:r>
      <w:r>
        <w:t xml:space="preserve"> rázu než toho biologického. Často dochází k zasvěcování ve skupinách.</w:t>
      </w:r>
      <w:r w:rsidR="00D424FE">
        <w:t xml:space="preserve"> </w:t>
      </w:r>
    </w:p>
    <w:p w14:paraId="68E5A217" w14:textId="4CDD2832" w:rsidR="00AA2E10" w:rsidRDefault="00AA2E10" w:rsidP="00F7275B">
      <w:pPr>
        <w:ind w:firstLine="708"/>
        <w:rPr>
          <w:lang w:eastAsia="cs-CZ"/>
        </w:rPr>
      </w:pPr>
      <w:r w:rsidRPr="00AA2E10">
        <w:rPr>
          <w:lang w:eastAsia="cs-CZ"/>
        </w:rPr>
        <w:t>Historici náboženství, zejména</w:t>
      </w:r>
      <w:r w:rsidR="009B0F0D">
        <w:rPr>
          <w:lang w:eastAsia="cs-CZ"/>
        </w:rPr>
        <w:t xml:space="preserve"> rumunský religionista</w:t>
      </w:r>
      <w:r w:rsidRPr="00AA2E10">
        <w:rPr>
          <w:lang w:eastAsia="cs-CZ"/>
        </w:rPr>
        <w:t xml:space="preserve"> Mircea Eliade, se v podstatě zabývají výkladem významu rituál</w:t>
      </w:r>
      <w:r>
        <w:rPr>
          <w:lang w:eastAsia="cs-CZ"/>
        </w:rPr>
        <w:t>u</w:t>
      </w:r>
      <w:r w:rsidRPr="00AA2E10">
        <w:rPr>
          <w:lang w:eastAsia="cs-CZ"/>
        </w:rPr>
        <w:t xml:space="preserve">, jeho symbolů transformace, jako je </w:t>
      </w:r>
      <w:r>
        <w:rPr>
          <w:lang w:eastAsia="cs-CZ"/>
        </w:rPr>
        <w:t xml:space="preserve">právě </w:t>
      </w:r>
      <w:r w:rsidRPr="00AA2E10">
        <w:rPr>
          <w:lang w:eastAsia="cs-CZ"/>
        </w:rPr>
        <w:t>smrt a znovuzrození</w:t>
      </w:r>
      <w:r>
        <w:rPr>
          <w:lang w:eastAsia="cs-CZ"/>
        </w:rPr>
        <w:t xml:space="preserve"> (to staré musí zemřít, aby byl prostor pro nové)</w:t>
      </w:r>
      <w:r w:rsidRPr="00AA2E10">
        <w:rPr>
          <w:lang w:eastAsia="cs-CZ"/>
        </w:rPr>
        <w:t>.</w:t>
      </w:r>
      <w:r w:rsidR="00D424FE">
        <w:rPr>
          <w:lang w:eastAsia="cs-CZ"/>
        </w:rPr>
        <w:t xml:space="preserve"> </w:t>
      </w:r>
    </w:p>
    <w:p w14:paraId="70E9CD3D" w14:textId="5F6DBA7E" w:rsidR="006E3E9D" w:rsidRPr="006E3E9D" w:rsidRDefault="006E3E9D" w:rsidP="00F7275B">
      <w:pPr>
        <w:ind w:firstLine="708"/>
        <w:rPr>
          <w:rStyle w:val="y2iqfc"/>
          <w:rFonts w:cstheme="minorHAnsi"/>
          <w:color w:val="202124"/>
        </w:rPr>
      </w:pPr>
      <w:r w:rsidRPr="006E3E9D">
        <w:rPr>
          <w:rStyle w:val="y2iqfc"/>
          <w:rFonts w:cstheme="minorHAnsi"/>
          <w:color w:val="202124"/>
        </w:rPr>
        <w:t>Počínaje dílem Arnolda van Gennepa</w:t>
      </w:r>
      <w:r w:rsidR="009B0F0D">
        <w:rPr>
          <w:rStyle w:val="y2iqfc"/>
          <w:rFonts w:cstheme="minorHAnsi"/>
          <w:color w:val="202124"/>
        </w:rPr>
        <w:t xml:space="preserve"> </w:t>
      </w:r>
      <w:r w:rsidRPr="009B0F0D">
        <w:rPr>
          <w:rStyle w:val="y2iqfc"/>
          <w:rFonts w:cstheme="minorHAnsi"/>
          <w:i/>
          <w:iCs/>
          <w:color w:val="202124"/>
        </w:rPr>
        <w:t xml:space="preserve">Rites of Passage </w:t>
      </w:r>
      <w:r w:rsidRPr="006E3E9D">
        <w:rPr>
          <w:rStyle w:val="y2iqfc"/>
          <w:rFonts w:cstheme="minorHAnsi"/>
          <w:color w:val="202124"/>
        </w:rPr>
        <w:t>(1909) byla „kariéra“ inicia</w:t>
      </w:r>
      <w:r w:rsidR="00273F78">
        <w:rPr>
          <w:rStyle w:val="y2iqfc"/>
          <w:rFonts w:cstheme="minorHAnsi"/>
          <w:color w:val="202124"/>
        </w:rPr>
        <w:t>čních rituálů</w:t>
      </w:r>
      <w:r w:rsidRPr="006E3E9D">
        <w:rPr>
          <w:rStyle w:val="y2iqfc"/>
          <w:rFonts w:cstheme="minorHAnsi"/>
          <w:color w:val="202124"/>
        </w:rPr>
        <w:t xml:space="preserve"> analyzována z hlediska jejích tří základních fází: oddělení od jednoho společenského postavení, přechod a </w:t>
      </w:r>
      <w:r w:rsidR="00273F78">
        <w:rPr>
          <w:rStyle w:val="y2iqfc"/>
          <w:rFonts w:cstheme="minorHAnsi"/>
          <w:color w:val="202124"/>
        </w:rPr>
        <w:t xml:space="preserve">následné </w:t>
      </w:r>
      <w:r w:rsidRPr="006E3E9D">
        <w:rPr>
          <w:rStyle w:val="y2iqfc"/>
          <w:rFonts w:cstheme="minorHAnsi"/>
          <w:color w:val="202124"/>
        </w:rPr>
        <w:t>začlenění</w:t>
      </w:r>
      <w:r w:rsidR="00273F78">
        <w:rPr>
          <w:rStyle w:val="y2iqfc"/>
          <w:rFonts w:cstheme="minorHAnsi"/>
          <w:color w:val="202124"/>
        </w:rPr>
        <w:t xml:space="preserve"> </w:t>
      </w:r>
      <w:r w:rsidRPr="006E3E9D">
        <w:rPr>
          <w:rStyle w:val="y2iqfc"/>
          <w:rFonts w:cstheme="minorHAnsi"/>
          <w:color w:val="202124"/>
        </w:rPr>
        <w:t xml:space="preserve">do jiného sociálního postavení. Stejně jako Eliade i van Gennep jasně rozpoznal náboženský rozměr </w:t>
      </w:r>
      <w:r w:rsidR="00273F78">
        <w:rPr>
          <w:rStyle w:val="y2iqfc"/>
          <w:rFonts w:cstheme="minorHAnsi"/>
          <w:color w:val="202124"/>
        </w:rPr>
        <w:t>přechodu</w:t>
      </w:r>
      <w:r w:rsidRPr="006E3E9D">
        <w:rPr>
          <w:rStyle w:val="y2iqfc"/>
          <w:rFonts w:cstheme="minorHAnsi"/>
          <w:color w:val="202124"/>
        </w:rPr>
        <w:t xml:space="preserve"> v primitivní společnosti. Současná antropologie, rozvíjející názory van Gennepa a Bronislawa Malinowského, se zabývá především tím, jak rituál funguje v primitivní společnosti. Důraz je proto kladen na to, jak rituály posilují sociální hodnoty, udržují sociální stabilitu, podporují skupinovou solidaritu a poskytují jednotlivci potřebnou výuku a psychologickou podporu.</w:t>
      </w:r>
      <w:r w:rsidR="009326D1">
        <w:rPr>
          <w:rStyle w:val="y2iqfc"/>
          <w:rFonts w:cstheme="minorHAnsi"/>
          <w:color w:val="202124"/>
        </w:rPr>
        <w:t xml:space="preserve"> </w:t>
      </w:r>
      <w:r w:rsidR="009326D1">
        <w:rPr>
          <w:rStyle w:val="Znakapoznpodarou"/>
          <w:rFonts w:cstheme="minorHAnsi"/>
          <w:color w:val="202124"/>
        </w:rPr>
        <w:footnoteReference w:id="5"/>
      </w:r>
    </w:p>
    <w:p w14:paraId="5473810A" w14:textId="06357BDB" w:rsidR="006E3E9D" w:rsidRDefault="006E3E9D" w:rsidP="00F7275B">
      <w:pPr>
        <w:ind w:firstLine="708"/>
        <w:rPr>
          <w:rStyle w:val="y2iqfc"/>
          <w:rFonts w:cstheme="minorHAnsi"/>
          <w:color w:val="202124"/>
        </w:rPr>
      </w:pPr>
      <w:r w:rsidRPr="006E3E9D">
        <w:rPr>
          <w:rStyle w:val="y2iqfc"/>
          <w:rFonts w:cstheme="minorHAnsi"/>
          <w:color w:val="202124"/>
        </w:rPr>
        <w:lastRenderedPageBreak/>
        <w:t xml:space="preserve">Na rozdíl od Eliadeho a van Gennepa však současné společenské vědy považují </w:t>
      </w:r>
      <w:r w:rsidR="0050456B">
        <w:rPr>
          <w:rStyle w:val="y2iqfc"/>
          <w:rFonts w:cstheme="minorHAnsi"/>
          <w:color w:val="202124"/>
        </w:rPr>
        <w:t>iniciační rituály</w:t>
      </w:r>
      <w:r w:rsidRPr="006E3E9D">
        <w:rPr>
          <w:rStyle w:val="y2iqfc"/>
          <w:rFonts w:cstheme="minorHAnsi"/>
          <w:color w:val="202124"/>
        </w:rPr>
        <w:t xml:space="preserve"> za sekulární aktivitu. Zabývají se téměř výhradně mužskou iniciací a naznačují, že dospívající chlapci kvůli své vzrůstající zdatnosti, síle a sexuálních schopnostech ohrožují řád společnosti a její sociální rovnováhu.</w:t>
      </w:r>
      <w:r w:rsidR="00D424FE">
        <w:rPr>
          <w:rStyle w:val="y2iqfc"/>
          <w:rFonts w:cstheme="minorHAnsi"/>
          <w:color w:val="202124"/>
        </w:rPr>
        <w:t xml:space="preserve"> </w:t>
      </w:r>
    </w:p>
    <w:p w14:paraId="2D8DAF75" w14:textId="147B11AF" w:rsidR="00B70968" w:rsidRDefault="00B70968" w:rsidP="00F7275B">
      <w:pPr>
        <w:ind w:firstLine="708"/>
        <w:rPr>
          <w:rStyle w:val="y2iqfc"/>
          <w:rFonts w:cstheme="minorHAnsi"/>
          <w:color w:val="202124"/>
        </w:rPr>
      </w:pPr>
      <w:r w:rsidRPr="00B70968">
        <w:rPr>
          <w:rStyle w:val="y2iqfc"/>
          <w:rFonts w:cstheme="minorHAnsi"/>
          <w:color w:val="202124"/>
        </w:rPr>
        <w:t>Přechodné období mezi odloučením a začleněním se často prodlužuje, zvláště v komplikovaných rituálech. Toto období</w:t>
      </w:r>
      <w:r>
        <w:rPr>
          <w:rStyle w:val="y2iqfc"/>
          <w:rFonts w:cstheme="minorHAnsi"/>
          <w:color w:val="202124"/>
        </w:rPr>
        <w:t>,</w:t>
      </w:r>
      <w:r w:rsidRPr="00B70968">
        <w:rPr>
          <w:rStyle w:val="y2iqfc"/>
          <w:rFonts w:cstheme="minorHAnsi"/>
          <w:color w:val="202124"/>
        </w:rPr>
        <w:t xml:space="preserve"> označované jako období liminality, přitahuje stále větší pozornost. Sociální antropolog Victor Turner upozorňuje na liminální </w:t>
      </w:r>
      <w:r>
        <w:rPr>
          <w:rStyle w:val="y2iqfc"/>
          <w:rFonts w:cstheme="minorHAnsi"/>
          <w:color w:val="202124"/>
        </w:rPr>
        <w:t>osobu</w:t>
      </w:r>
      <w:r w:rsidRPr="00B70968">
        <w:rPr>
          <w:rStyle w:val="y2iqfc"/>
          <w:rFonts w:cstheme="minorHAnsi"/>
          <w:color w:val="202124"/>
        </w:rPr>
        <w:t xml:space="preserve"> jako na takovou, která není ani to, ani ono, ani tady, ani tam, ale spíše </w:t>
      </w:r>
      <w:r>
        <w:rPr>
          <w:rStyle w:val="y2iqfc"/>
          <w:rFonts w:cstheme="minorHAnsi"/>
          <w:color w:val="202124"/>
        </w:rPr>
        <w:t>někdy „</w:t>
      </w:r>
      <w:r w:rsidRPr="00B70968">
        <w:rPr>
          <w:rStyle w:val="y2iqfc"/>
          <w:rFonts w:cstheme="minorHAnsi"/>
          <w:color w:val="202124"/>
        </w:rPr>
        <w:t>mezi tím</w:t>
      </w:r>
      <w:r>
        <w:rPr>
          <w:rStyle w:val="y2iqfc"/>
          <w:rFonts w:cstheme="minorHAnsi"/>
          <w:color w:val="202124"/>
        </w:rPr>
        <w:t xml:space="preserve"> vším“</w:t>
      </w:r>
      <w:r w:rsidRPr="00B70968">
        <w:rPr>
          <w:rStyle w:val="y2iqfc"/>
          <w:rFonts w:cstheme="minorHAnsi"/>
          <w:color w:val="202124"/>
        </w:rPr>
        <w:t xml:space="preserve">. Období liminality je obdobím nejednoznačnosti. </w:t>
      </w:r>
      <w:r w:rsidR="00F34007">
        <w:rPr>
          <w:rStyle w:val="y2iqfc"/>
          <w:rFonts w:cstheme="minorHAnsi"/>
          <w:color w:val="202124"/>
        </w:rPr>
        <w:t>Osoba, která rituál podstupuje,</w:t>
      </w:r>
      <w:r w:rsidRPr="00B70968">
        <w:rPr>
          <w:rStyle w:val="y2iqfc"/>
          <w:rFonts w:cstheme="minorHAnsi"/>
          <w:color w:val="202124"/>
        </w:rPr>
        <w:t xml:space="preserve"> může být viděn</w:t>
      </w:r>
      <w:r w:rsidR="00F34007">
        <w:rPr>
          <w:rStyle w:val="y2iqfc"/>
          <w:rFonts w:cstheme="minorHAnsi"/>
          <w:color w:val="202124"/>
        </w:rPr>
        <w:t>a</w:t>
      </w:r>
      <w:r w:rsidRPr="00B70968">
        <w:rPr>
          <w:rStyle w:val="y2iqfc"/>
          <w:rFonts w:cstheme="minorHAnsi"/>
          <w:color w:val="202124"/>
        </w:rPr>
        <w:t xml:space="preserve"> jako ani živ</w:t>
      </w:r>
      <w:r w:rsidR="00F34007">
        <w:rPr>
          <w:rStyle w:val="y2iqfc"/>
          <w:rFonts w:cstheme="minorHAnsi"/>
          <w:color w:val="202124"/>
        </w:rPr>
        <w:t>á</w:t>
      </w:r>
      <w:r w:rsidRPr="00B70968">
        <w:rPr>
          <w:rStyle w:val="y2iqfc"/>
          <w:rFonts w:cstheme="minorHAnsi"/>
          <w:color w:val="202124"/>
        </w:rPr>
        <w:t>, ani mrtv</w:t>
      </w:r>
      <w:r w:rsidR="00F34007">
        <w:rPr>
          <w:rStyle w:val="y2iqfc"/>
          <w:rFonts w:cstheme="minorHAnsi"/>
          <w:color w:val="202124"/>
        </w:rPr>
        <w:t>á</w:t>
      </w:r>
      <w:r w:rsidRPr="00B70968">
        <w:rPr>
          <w:rStyle w:val="y2iqfc"/>
          <w:rFonts w:cstheme="minorHAnsi"/>
          <w:color w:val="202124"/>
        </w:rPr>
        <w:t xml:space="preserve">, ale jako obojí zároveň. Velká část symboliky doprovázející tento obřad je proto bivalentní. Liminální </w:t>
      </w:r>
      <w:r w:rsidR="006B491A">
        <w:rPr>
          <w:rStyle w:val="y2iqfc"/>
          <w:rFonts w:cstheme="minorHAnsi"/>
          <w:color w:val="202124"/>
        </w:rPr>
        <w:t>osoba</w:t>
      </w:r>
      <w:r w:rsidRPr="00B70968">
        <w:rPr>
          <w:rStyle w:val="y2iqfc"/>
          <w:rFonts w:cstheme="minorHAnsi"/>
          <w:color w:val="202124"/>
        </w:rPr>
        <w:t xml:space="preserve"> je v mnoha ohledech „neviditelná“, žije mimo normy a kategorie společnosti. Tradiční tabu a morální příkazy se na n</w:t>
      </w:r>
      <w:r w:rsidR="006B491A">
        <w:rPr>
          <w:rStyle w:val="y2iqfc"/>
          <w:rFonts w:cstheme="minorHAnsi"/>
          <w:color w:val="202124"/>
        </w:rPr>
        <w:t>í</w:t>
      </w:r>
      <w:r w:rsidRPr="00B70968">
        <w:rPr>
          <w:rStyle w:val="y2iqfc"/>
          <w:rFonts w:cstheme="minorHAnsi"/>
          <w:color w:val="202124"/>
        </w:rPr>
        <w:t xml:space="preserve"> nevztahují. Liminální </w:t>
      </w:r>
      <w:r w:rsidR="006B491A">
        <w:rPr>
          <w:rStyle w:val="y2iqfc"/>
          <w:rFonts w:cstheme="minorHAnsi"/>
          <w:color w:val="202124"/>
        </w:rPr>
        <w:t>osoby</w:t>
      </w:r>
      <w:r w:rsidRPr="00B70968">
        <w:rPr>
          <w:rStyle w:val="y2iqfc"/>
          <w:rFonts w:cstheme="minorHAnsi"/>
          <w:color w:val="202124"/>
        </w:rPr>
        <w:t xml:space="preserve"> jsou posvátné, dokonce </w:t>
      </w:r>
      <w:r w:rsidR="006B491A">
        <w:rPr>
          <w:rStyle w:val="y2iqfc"/>
          <w:rFonts w:cstheme="minorHAnsi"/>
          <w:color w:val="202124"/>
        </w:rPr>
        <w:t xml:space="preserve">někdy i </w:t>
      </w:r>
      <w:r w:rsidRPr="00B70968">
        <w:rPr>
          <w:rStyle w:val="y2iqfc"/>
          <w:rFonts w:cstheme="minorHAnsi"/>
          <w:color w:val="202124"/>
        </w:rPr>
        <w:t xml:space="preserve">nebezpečné. </w:t>
      </w:r>
      <w:r w:rsidR="006B491A">
        <w:rPr>
          <w:rStyle w:val="y2iqfc"/>
          <w:rFonts w:cstheme="minorHAnsi"/>
          <w:color w:val="202124"/>
        </w:rPr>
        <w:t>J</w:t>
      </w:r>
      <w:r w:rsidRPr="00B70968">
        <w:rPr>
          <w:rStyle w:val="y2iqfc"/>
          <w:rFonts w:cstheme="minorHAnsi"/>
          <w:color w:val="202124"/>
        </w:rPr>
        <w:t>e proto nutné, aby byl</w:t>
      </w:r>
      <w:r w:rsidR="006B491A">
        <w:rPr>
          <w:rStyle w:val="y2iqfc"/>
          <w:rFonts w:cstheme="minorHAnsi"/>
          <w:color w:val="202124"/>
        </w:rPr>
        <w:t>y</w:t>
      </w:r>
      <w:r w:rsidRPr="00B70968">
        <w:rPr>
          <w:rStyle w:val="y2iqfc"/>
          <w:rFonts w:cstheme="minorHAnsi"/>
          <w:color w:val="202124"/>
        </w:rPr>
        <w:t xml:space="preserve"> před opětovným vstupem do společnosti očištěn</w:t>
      </w:r>
      <w:r w:rsidR="006B491A">
        <w:rPr>
          <w:rStyle w:val="y2iqfc"/>
          <w:rFonts w:cstheme="minorHAnsi"/>
          <w:color w:val="202124"/>
        </w:rPr>
        <w:t>y</w:t>
      </w:r>
      <w:r w:rsidRPr="00B70968">
        <w:rPr>
          <w:rStyle w:val="y2iqfc"/>
          <w:rFonts w:cstheme="minorHAnsi"/>
          <w:color w:val="202124"/>
        </w:rPr>
        <w:t>.</w:t>
      </w:r>
      <w:r w:rsidR="006107A9">
        <w:rPr>
          <w:rStyle w:val="Znakapoznpodarou"/>
          <w:rFonts w:cstheme="minorHAnsi"/>
          <w:color w:val="202124"/>
        </w:rPr>
        <w:footnoteReference w:id="6"/>
      </w:r>
    </w:p>
    <w:p w14:paraId="17869F01" w14:textId="1E26A3A1" w:rsidR="004B1CB6" w:rsidRDefault="004B1CB6" w:rsidP="00F7275B">
      <w:pPr>
        <w:ind w:firstLine="708"/>
        <w:rPr>
          <w:rStyle w:val="y2iqfc"/>
          <w:rFonts w:cstheme="minorHAnsi"/>
          <w:color w:val="202124"/>
        </w:rPr>
      </w:pPr>
      <w:r w:rsidRPr="004B1CB6">
        <w:rPr>
          <w:rStyle w:val="y2iqfc"/>
          <w:rFonts w:cstheme="minorHAnsi"/>
          <w:color w:val="202124"/>
        </w:rPr>
        <w:t>Rituální operace na těle jsou prováděny</w:t>
      </w:r>
      <w:r>
        <w:rPr>
          <w:rStyle w:val="y2iqfc"/>
          <w:rFonts w:cstheme="minorHAnsi"/>
          <w:color w:val="202124"/>
        </w:rPr>
        <w:t xml:space="preserve"> při přechodu z chlapce na muže u mnoha společností. </w:t>
      </w:r>
      <w:r w:rsidRPr="004B1CB6">
        <w:rPr>
          <w:rStyle w:val="y2iqfc"/>
          <w:rFonts w:cstheme="minorHAnsi"/>
          <w:color w:val="202124"/>
        </w:rPr>
        <w:t xml:space="preserve">Tělo může být řezáno, zjizveno, propíchnuto, označeno nebo tetováno nesčetnými způsoby, často s velkou vynalézavostí a uměleckými dovednostmi. Operace symbolizuje odlišení se od nezasvěcených jedinců i trvalé začlenění do nové skupiny. Obzvláště bolestivé operace spolu s drsným zacházením, zkouškami odolnosti a dalšími vynucenými útrapami jsou běžné u všech, kromě těch nejarchaičtějších mužských </w:t>
      </w:r>
      <w:r>
        <w:rPr>
          <w:rStyle w:val="y2iqfc"/>
          <w:rFonts w:cstheme="minorHAnsi"/>
          <w:color w:val="202124"/>
        </w:rPr>
        <w:t>rituálů</w:t>
      </w:r>
      <w:r w:rsidRPr="004B1CB6">
        <w:rPr>
          <w:rStyle w:val="y2iqfc"/>
          <w:rFonts w:cstheme="minorHAnsi"/>
          <w:color w:val="202124"/>
        </w:rPr>
        <w:t>. Takové utrpení vždy symbolizuje rituální smrt a má mytologický model.</w:t>
      </w:r>
      <w:r w:rsidR="00751ED4">
        <w:rPr>
          <w:rStyle w:val="y2iqfc"/>
          <w:rFonts w:cstheme="minorHAnsi"/>
          <w:color w:val="202124"/>
        </w:rPr>
        <w:t xml:space="preserve"> </w:t>
      </w:r>
      <w:r w:rsidR="00751ED4" w:rsidRPr="00751ED4">
        <w:rPr>
          <w:rStyle w:val="y2iqfc"/>
          <w:rFonts w:cstheme="minorHAnsi"/>
          <w:color w:val="202124"/>
        </w:rPr>
        <w:t xml:space="preserve">Ačkoli van Gennep považoval genitální operace za jednoduše další formu tělesné modifikace bez jedinečného významu, </w:t>
      </w:r>
      <w:r w:rsidR="00751ED4">
        <w:rPr>
          <w:rStyle w:val="y2iqfc"/>
          <w:rFonts w:cstheme="minorHAnsi"/>
          <w:color w:val="202124"/>
        </w:rPr>
        <w:t xml:space="preserve">například </w:t>
      </w:r>
      <w:r w:rsidR="00751ED4" w:rsidRPr="00751ED4">
        <w:rPr>
          <w:rStyle w:val="y2iqfc"/>
          <w:rFonts w:cstheme="minorHAnsi"/>
          <w:color w:val="202124"/>
        </w:rPr>
        <w:t>obřízka zvláště přitahovala neobvyklý zájem a vyvol</w:t>
      </w:r>
      <w:r w:rsidR="00751ED4">
        <w:rPr>
          <w:rStyle w:val="y2iqfc"/>
          <w:rFonts w:cstheme="minorHAnsi"/>
          <w:color w:val="202124"/>
        </w:rPr>
        <w:t>ávala</w:t>
      </w:r>
      <w:r w:rsidR="00751ED4" w:rsidRPr="00751ED4">
        <w:rPr>
          <w:rStyle w:val="y2iqfc"/>
          <w:rFonts w:cstheme="minorHAnsi"/>
          <w:color w:val="202124"/>
        </w:rPr>
        <w:t xml:space="preserve"> velké kontroverze. Obřízka mužů v pubertě je rozšířená, ne-li univerzální praxe mezi archaickými kmeny. Mnoho společností to považuje za ekvivalent samotného zasvěcení a považují neobřezané muže za děti. Mytologie a rituály obřízky jsou obecně dramatické. Na rituální akt se pohlíží jako na neustálé opakování prvotního trestu uvaleného praotcem na jeho vzpurné syny. Rituál vytváří podřízení se vůli otce a posiluje tabu proti incestu.</w:t>
      </w:r>
      <w:r w:rsidR="006107A9">
        <w:rPr>
          <w:rStyle w:val="y2iqfc"/>
          <w:rFonts w:cstheme="minorHAnsi"/>
          <w:color w:val="202124"/>
        </w:rPr>
        <w:t xml:space="preserve"> </w:t>
      </w:r>
      <w:r w:rsidR="006107A9">
        <w:rPr>
          <w:rStyle w:val="Znakapoznpodarou"/>
          <w:rFonts w:cstheme="minorHAnsi"/>
          <w:color w:val="202124"/>
        </w:rPr>
        <w:footnoteReference w:id="7"/>
      </w:r>
      <w:r w:rsidR="006107A9">
        <w:rPr>
          <w:rStyle w:val="y2iqfc"/>
          <w:rFonts w:cstheme="minorHAnsi"/>
          <w:color w:val="202124"/>
        </w:rPr>
        <w:t xml:space="preserve"> </w:t>
      </w:r>
      <w:r w:rsidR="006107A9">
        <w:rPr>
          <w:rStyle w:val="Znakapoznpodarou"/>
          <w:rFonts w:cstheme="minorHAnsi"/>
          <w:color w:val="202124"/>
        </w:rPr>
        <w:footnoteReference w:id="8"/>
      </w:r>
      <w:r w:rsidR="00413F87">
        <w:rPr>
          <w:rStyle w:val="y2iqfc"/>
          <w:rFonts w:cstheme="minorHAnsi"/>
          <w:color w:val="202124"/>
        </w:rPr>
        <w:t xml:space="preserve"> </w:t>
      </w:r>
    </w:p>
    <w:p w14:paraId="5E59093E" w14:textId="46B58CAF" w:rsidR="00C57A33" w:rsidRDefault="00C57A33" w:rsidP="00C57A33">
      <w:pPr>
        <w:pStyle w:val="Nadpis1"/>
      </w:pPr>
      <w:bookmarkStart w:id="8" w:name="_Toc93265071"/>
      <w:r>
        <w:lastRenderedPageBreak/>
        <w:t>Židovský rituál bar micva</w:t>
      </w:r>
      <w:bookmarkEnd w:id="8"/>
    </w:p>
    <w:p w14:paraId="7C82654D" w14:textId="3A1FF298" w:rsidR="003E1B5C" w:rsidRDefault="003E1B5C" w:rsidP="003E1B5C">
      <w:pPr>
        <w:ind w:firstLine="708"/>
      </w:pPr>
      <w:r>
        <w:t xml:space="preserve">Podle slovníčku pojmů z Judaismu uveřejněného na stránkách Institutu Terezínské iniciativy znamená hebrejsky </w:t>
      </w:r>
      <w:r>
        <w:rPr>
          <w:i/>
          <w:iCs/>
        </w:rPr>
        <w:t xml:space="preserve">bar micva </w:t>
      </w:r>
      <w:r>
        <w:t>„Syn příkazu</w:t>
      </w:r>
      <w:r w:rsidRPr="006107A9">
        <w:t>“.</w:t>
      </w:r>
      <w:r w:rsidR="006107A9" w:rsidRPr="006107A9">
        <w:t xml:space="preserve"> </w:t>
      </w:r>
      <w:r w:rsidR="006107A9" w:rsidRPr="006107A9">
        <w:rPr>
          <w:rStyle w:val="Znakapoznpodarou"/>
        </w:rPr>
        <w:footnoteReference w:id="9"/>
      </w:r>
      <w:r w:rsidRPr="006107A9">
        <w:t xml:space="preserve"> </w:t>
      </w:r>
    </w:p>
    <w:p w14:paraId="3AF7D77F" w14:textId="5F1E4466" w:rsidR="0095096E" w:rsidRDefault="00A97C98" w:rsidP="0095096E">
      <w:pPr>
        <w:ind w:firstLine="708"/>
      </w:pPr>
      <w:r>
        <w:rPr>
          <w:rStyle w:val="Hypertextovodkaz"/>
          <w:color w:val="auto"/>
          <w:u w:val="none"/>
        </w:rPr>
        <w:t xml:space="preserve">Židovský zákon </w:t>
      </w:r>
      <w:r w:rsidRPr="00F103EA">
        <w:rPr>
          <w:rStyle w:val="Hypertextovodkaz"/>
          <w:i/>
          <w:iCs/>
          <w:color w:val="auto"/>
          <w:u w:val="none"/>
        </w:rPr>
        <w:t>Chalacha</w:t>
      </w:r>
      <w:r>
        <w:rPr>
          <w:rStyle w:val="Hypertextovodkaz"/>
          <w:i/>
          <w:iCs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říká, že</w:t>
      </w:r>
      <w:r>
        <w:rPr>
          <w:rStyle w:val="Hypertextovodkaz"/>
          <w:i/>
          <w:iCs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je dítě schopné se učit od šesti letech, proto se právě v té době začíná učit číst a psát hebrejsky. Také je vyučováno v židovských tradicích a zvycích, které se reflektují v celém životě Žida, každý den od ranního vstávání po usnutí. Všeho potřebného vědění dle židovských zákonů učí dítě jeho učitel. Vše směřuje k důležité s</w:t>
      </w:r>
      <w:r>
        <w:t xml:space="preserve">lavnosti bar micva, která se vykonává již od raného středověku a lze </w:t>
      </w:r>
      <w:r w:rsidR="00E118C5">
        <w:t xml:space="preserve">ji </w:t>
      </w:r>
      <w:r>
        <w:t xml:space="preserve">přirovnat ke katolické svátosti biřmování. </w:t>
      </w:r>
      <w:r w:rsidR="00E118C5">
        <w:rPr>
          <w:rStyle w:val="Hypertextovodkaz"/>
          <w:color w:val="auto"/>
          <w:u w:val="none"/>
        </w:rPr>
        <w:t>P</w:t>
      </w:r>
      <w:r>
        <w:rPr>
          <w:rStyle w:val="Hypertextovodkaz"/>
          <w:color w:val="auto"/>
          <w:u w:val="none"/>
        </w:rPr>
        <w:t>odle židovské tradice z chlapce stává dospělý</w:t>
      </w:r>
      <w:r>
        <w:t xml:space="preserve"> v náboženském smyslu a bere na sebe plno závazků a povinností. </w:t>
      </w:r>
      <w:r w:rsidR="00E6072F">
        <w:t>Do tohoto okamžiku byl</w:t>
      </w:r>
      <w:r w:rsidR="00E118C5">
        <w:t xml:space="preserve"> totiž</w:t>
      </w:r>
      <w:r w:rsidR="00E6072F">
        <w:t xml:space="preserve"> za syna odpovědný jeho otec. </w:t>
      </w:r>
      <w:r w:rsidR="00E6072F" w:rsidRPr="00E118C5">
        <w:t>Při příležitosti třináctých</w:t>
      </w:r>
      <w:r w:rsidR="00E6072F">
        <w:t xml:space="preserve"> narozenin se stává odpovědným sám za sebe</w:t>
      </w:r>
      <w:r w:rsidR="00E118C5">
        <w:t xml:space="preserve"> před Bohem, přiznává se mu svobodná vůle</w:t>
      </w:r>
      <w:r w:rsidR="00E6072F">
        <w:t xml:space="preserve"> a je také povinný plnit předpisy židovství. Toto symbolické nabytí odpovědnosti stvrzuje</w:t>
      </w:r>
      <w:r w:rsidR="00E118C5">
        <w:t xml:space="preserve"> při rituálu </w:t>
      </w:r>
      <w:r w:rsidR="00E6072F">
        <w:t>otec</w:t>
      </w:r>
      <w:r w:rsidR="00E118C5">
        <w:t xml:space="preserve"> </w:t>
      </w:r>
      <w:r w:rsidR="00E6072F">
        <w:t xml:space="preserve">chlapce pronesením „Nechť je požehnán Ten, který mě nyní zprostil od veškeré povinnosti za něho.“. </w:t>
      </w:r>
      <w:r w:rsidR="0050685F">
        <w:t>Před provedením obřadu bar micva prochází chlapec</w:t>
      </w:r>
      <w:r w:rsidR="00E118C5">
        <w:t xml:space="preserve"> důkladnou</w:t>
      </w:r>
      <w:r w:rsidR="0050685F">
        <w:t xml:space="preserve"> přípravou. </w:t>
      </w:r>
      <w:r w:rsidR="00B7653F">
        <w:t>Minimálně jeden rok se u</w:t>
      </w:r>
      <w:r w:rsidR="0050685F">
        <w:t>čí hebrejštinu, seznamuje se s povinnostmi vůči Bohu a například je poučen o správném vázání modlitebních řemínků</w:t>
      </w:r>
      <w:r w:rsidR="00E118C5">
        <w:t xml:space="preserve"> na paži a čelo.</w:t>
      </w:r>
      <w:r w:rsidR="0095096E">
        <w:rPr>
          <w:rStyle w:val="Hypertextovodkaz"/>
          <w:color w:val="auto"/>
          <w:u w:val="none"/>
        </w:rPr>
        <w:t xml:space="preserve"> Modlitební řemínky </w:t>
      </w:r>
      <w:r w:rsidR="0095096E">
        <w:rPr>
          <w:rStyle w:val="Hypertextovodkaz"/>
          <w:i/>
          <w:iCs/>
          <w:color w:val="auto"/>
          <w:u w:val="none"/>
        </w:rPr>
        <w:t>Tifilin</w:t>
      </w:r>
      <w:r w:rsidR="0095096E">
        <w:rPr>
          <w:rStyle w:val="Hypertextovodkaz"/>
          <w:color w:val="auto"/>
          <w:u w:val="none"/>
        </w:rPr>
        <w:t xml:space="preserve"> spojují dvě kožené schránky s texty Písma. Používají se při ranní modlitbě kromě </w:t>
      </w:r>
      <w:r w:rsidR="0095096E" w:rsidRPr="0055558D">
        <w:rPr>
          <w:rStyle w:val="Hypertextovodkaz"/>
          <w:i/>
          <w:iCs/>
          <w:color w:val="auto"/>
          <w:u w:val="none"/>
        </w:rPr>
        <w:t>šabatu</w:t>
      </w:r>
      <w:r w:rsidR="0095096E">
        <w:rPr>
          <w:rStyle w:val="Hypertextovodkaz"/>
          <w:color w:val="auto"/>
          <w:u w:val="none"/>
        </w:rPr>
        <w:t xml:space="preserve"> a svátku. První schránka se uváže na paži a znamená ochotu svými činy sloužit Bohu. Pak se ováže prst na znamená zasnoubení Boha s Izraelem. Druhá schránka patří na čelo. Žid tak všechno své myšlení zasvěcuje Bohu.</w:t>
      </w:r>
      <w:r w:rsidR="00E118C5">
        <w:t xml:space="preserve"> Ty</w:t>
      </w:r>
      <w:r w:rsidR="0095096E">
        <w:t>to řemínky</w:t>
      </w:r>
      <w:r w:rsidR="00E118C5">
        <w:t xml:space="preserve"> si poprvé</w:t>
      </w:r>
      <w:r w:rsidR="0095096E">
        <w:t xml:space="preserve"> chlapec</w:t>
      </w:r>
      <w:r w:rsidR="00E118C5">
        <w:t xml:space="preserve"> nasadí právě při obřadu a recituje přitom modlitbu </w:t>
      </w:r>
      <w:r w:rsidR="00E118C5">
        <w:rPr>
          <w:i/>
          <w:iCs/>
        </w:rPr>
        <w:t>Slyš Izraeli</w:t>
      </w:r>
      <w:r w:rsidR="00E118C5">
        <w:t xml:space="preserve">, která </w:t>
      </w:r>
      <w:r w:rsidR="00E118C5">
        <w:rPr>
          <w:rStyle w:val="Hypertextovodkaz"/>
          <w:color w:val="auto"/>
          <w:u w:val="none"/>
        </w:rPr>
        <w:t>symbolizuje jednotu lidu Izraele jak v Izraeli, tak v diaspoře. Chlapec se také musel naučit recitovat text z Tóry předepsaným zpěvným způsobem. Po přečtení otec chlapce děkuje Bohu za to, že již za není odpovědný za činy svého syna.</w:t>
      </w:r>
      <w:r w:rsidR="0095096E">
        <w:rPr>
          <w:rStyle w:val="Hypertextovodkaz"/>
          <w:color w:val="auto"/>
          <w:u w:val="none"/>
        </w:rPr>
        <w:t xml:space="preserve"> V ortodoxních kruzích musí ještě chlapec přednést Talmudickou přednášku. </w:t>
      </w:r>
      <w:r w:rsidR="0050685F">
        <w:t xml:space="preserve">Bar micva se zpravidla oslaví o </w:t>
      </w:r>
      <w:r w:rsidR="0050685F" w:rsidRPr="00E118C5">
        <w:t>šabatu,</w:t>
      </w:r>
      <w:r w:rsidR="0050685F">
        <w:t xml:space="preserve"> co nejblíže ke dni narozenin. Od tohoto okamžiku může být v synagoze vyvolán k předčítání z Tóry a také je započítán do</w:t>
      </w:r>
      <w:r w:rsidR="00F103EA">
        <w:t xml:space="preserve"> </w:t>
      </w:r>
      <w:r w:rsidR="00F103EA">
        <w:rPr>
          <w:i/>
          <w:iCs/>
        </w:rPr>
        <w:t xml:space="preserve">Mini </w:t>
      </w:r>
      <w:r w:rsidR="00B87B58">
        <w:rPr>
          <w:i/>
          <w:iCs/>
        </w:rPr>
        <w:t xml:space="preserve">hanu </w:t>
      </w:r>
      <w:r w:rsidR="00B87B58">
        <w:t>– minimálního</w:t>
      </w:r>
      <w:r w:rsidR="0050685F">
        <w:t xml:space="preserve"> počtu deseti dospělých Židů, který je nutný pro započetí veřejné bohoslužby.</w:t>
      </w:r>
      <w:r w:rsidR="00B7653F">
        <w:t xml:space="preserve"> Teoretický je také již dostatečně starý na to, aby se mohl oženit.</w:t>
      </w:r>
      <w:r w:rsidR="0095096E">
        <w:t xml:space="preserve"> </w:t>
      </w:r>
    </w:p>
    <w:p w14:paraId="36F39A6B" w14:textId="52900037" w:rsidR="00825FFC" w:rsidRPr="00955C62" w:rsidRDefault="0095096E" w:rsidP="00825FFC">
      <w:pPr>
        <w:ind w:firstLine="708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Dnes už pro mnoho Židů není víra natolik silná jako před sto lety. Bar micva je pro ně takřka jediným spojením s modlitbou, ale po zbytek života, kromě svatby, si modlitební </w:t>
      </w:r>
      <w:r>
        <w:rPr>
          <w:rStyle w:val="Hypertextovodkaz"/>
          <w:color w:val="auto"/>
          <w:u w:val="none"/>
        </w:rPr>
        <w:lastRenderedPageBreak/>
        <w:t xml:space="preserve">řemínky už neuváže. </w:t>
      </w:r>
      <w:r w:rsidR="0050685F">
        <w:t>Vstup do dospělosti je velmi významný den a důvod k</w:t>
      </w:r>
      <w:r w:rsidR="00B7653F">
        <w:t> </w:t>
      </w:r>
      <w:r w:rsidR="0050685F">
        <w:t>oslavě</w:t>
      </w:r>
      <w:r w:rsidR="00B7653F">
        <w:t xml:space="preserve"> </w:t>
      </w:r>
      <w:r w:rsidR="0050685F">
        <w:t>pro celou rodinu</w:t>
      </w:r>
      <w:r>
        <w:t>, při které je podáváno pohoštění, se kterým jsou spojené také další zvyky.</w:t>
      </w:r>
      <w:r w:rsidR="006107A9">
        <w:t xml:space="preserve"> </w:t>
      </w:r>
      <w:r w:rsidR="006107A9">
        <w:rPr>
          <w:rStyle w:val="Znakapoznpodarou"/>
        </w:rPr>
        <w:footnoteReference w:id="10"/>
      </w:r>
      <w:r w:rsidR="006107A9">
        <w:t xml:space="preserve"> </w:t>
      </w:r>
      <w:r w:rsidR="006107A9">
        <w:rPr>
          <w:rStyle w:val="Znakapoznpodarou"/>
        </w:rPr>
        <w:footnoteReference w:id="11"/>
      </w:r>
      <w:r>
        <w:t xml:space="preserve"> </w:t>
      </w:r>
    </w:p>
    <w:p w14:paraId="2311A858" w14:textId="3E1E44C1" w:rsidR="00090EAD" w:rsidRDefault="00B87B58" w:rsidP="00C57A33">
      <w:pPr>
        <w:pStyle w:val="Nadpis1"/>
      </w:pPr>
      <w:bookmarkStart w:id="9" w:name="_Toc93265072"/>
      <w:r>
        <w:t>Porovnání bar micva a bat micva</w:t>
      </w:r>
      <w:bookmarkEnd w:id="9"/>
    </w:p>
    <w:p w14:paraId="2C730C79" w14:textId="341D2368" w:rsidR="00B87B58" w:rsidRDefault="00B87B58" w:rsidP="00B87B58">
      <w:r>
        <w:tab/>
      </w:r>
      <w:r w:rsidR="00E12847">
        <w:t xml:space="preserve">Rituál bar micva byl již popsán výše, ale jak se liší od bat </w:t>
      </w:r>
      <w:r w:rsidR="002E65FD">
        <w:t>micva</w:t>
      </w:r>
      <w:r w:rsidR="00E12847">
        <w:t xml:space="preserve"> </w:t>
      </w:r>
      <w:r w:rsidR="006269DA">
        <w:t>neboli</w:t>
      </w:r>
      <w:r w:rsidR="00E12847">
        <w:t xml:space="preserve"> ženského přechodového rituálu bude popsáno zde.</w:t>
      </w:r>
    </w:p>
    <w:p w14:paraId="224CC988" w14:textId="0B7592FC" w:rsidR="00A70FE8" w:rsidRDefault="002E65FD" w:rsidP="00B87B58">
      <w:r>
        <w:tab/>
      </w:r>
      <w:r w:rsidR="0023223C">
        <w:t>Obřad bat micva je mnohem mladší než jeho mužská obdoba.</w:t>
      </w:r>
      <w:r w:rsidR="003E1B5C">
        <w:t xml:space="preserve"> V překladu toto slovní spojení znamená „Dcera příkazu“.</w:t>
      </w:r>
      <w:r w:rsidR="0023223C">
        <w:t xml:space="preserve"> První se konala roku 1922 v New Yorku. Ortodoxní Židé tento rituál neuznávají</w:t>
      </w:r>
      <w:r w:rsidR="00810722">
        <w:t xml:space="preserve">. V moderní době se některé liberální evropské židovské obce pokoušejí zavést tento obřad pro dívky v pravidlo. </w:t>
      </w:r>
      <w:r w:rsidR="0023223C">
        <w:t xml:space="preserve">Dále ho můžeme najít u rekonstruktivního judaismus, který založil rabi Mordechaj Kaplan v roce 1881, právě on byl prvním člověkem, který </w:t>
      </w:r>
      <w:r w:rsidR="00A70FE8">
        <w:t xml:space="preserve">vykonal bat micva, a to pro svou dceru. </w:t>
      </w:r>
    </w:p>
    <w:p w14:paraId="5CE42100" w14:textId="4FEEB08C" w:rsidR="002E65FD" w:rsidRDefault="00A70FE8" w:rsidP="00B87B58">
      <w:r>
        <w:t xml:space="preserve">Dívky stejně jako chlapci dostávají </w:t>
      </w:r>
      <w:r w:rsidRPr="00810722">
        <w:rPr>
          <w:i/>
          <w:iCs/>
        </w:rPr>
        <w:t>talit</w:t>
      </w:r>
      <w:r>
        <w:t xml:space="preserve"> a </w:t>
      </w:r>
      <w:r w:rsidRPr="00810722">
        <w:rPr>
          <w:i/>
          <w:iCs/>
        </w:rPr>
        <w:t>tfilin</w:t>
      </w:r>
      <w:r>
        <w:t xml:space="preserve"> a jsou počítány do minjanu, což je společenství minimálně deseti přítomných věřících. Bez tohoto minimálního počtu věřících se nesmí konat žádná veřejná pobožnost.</w:t>
      </w:r>
      <w:r w:rsidR="007827D5">
        <w:t xml:space="preserve"> Obřad podstupují již ve svých dvanácti letech, tudíž o rok dříve než chlapci.</w:t>
      </w:r>
      <w:r w:rsidR="001E4E9C">
        <w:t xml:space="preserve"> </w:t>
      </w:r>
      <w:r w:rsidR="00810722">
        <w:rPr>
          <w:rStyle w:val="Hypertextovodkaz"/>
          <w:color w:val="auto"/>
          <w:u w:val="none"/>
        </w:rPr>
        <w:t>Dívky jsou v tomto věku tedy poučeny o všech povinnostech židovské ženy.</w:t>
      </w:r>
      <w:r w:rsidR="006107A9">
        <w:rPr>
          <w:rStyle w:val="Hypertextovodkaz"/>
          <w:color w:val="auto"/>
          <w:u w:val="none"/>
        </w:rPr>
        <w:t xml:space="preserve"> </w:t>
      </w:r>
      <w:r w:rsidR="006107A9">
        <w:rPr>
          <w:rStyle w:val="Znakapoznpodarou"/>
        </w:rPr>
        <w:footnoteReference w:id="12"/>
      </w:r>
      <w:r w:rsidR="00894922">
        <w:rPr>
          <w:rStyle w:val="Hypertextovodkaz"/>
          <w:color w:val="auto"/>
          <w:u w:val="none"/>
        </w:rPr>
        <w:t xml:space="preserve"> </w:t>
      </w:r>
    </w:p>
    <w:p w14:paraId="2490BDC6" w14:textId="77777777" w:rsidR="00810722" w:rsidRDefault="00810722">
      <w:pPr>
        <w:spacing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A0984D5" w14:textId="66B40E2D" w:rsidR="001E4E9C" w:rsidRPr="004575BA" w:rsidRDefault="00810722" w:rsidP="00810722">
      <w:pPr>
        <w:pStyle w:val="Nadpis1"/>
      </w:pPr>
      <w:bookmarkStart w:id="10" w:name="_Toc93265073"/>
      <w:r>
        <w:lastRenderedPageBreak/>
        <w:t>PRAKTICKÁ ČÁST</w:t>
      </w:r>
      <w:bookmarkEnd w:id="10"/>
    </w:p>
    <w:p w14:paraId="3DE78EC0" w14:textId="77777777" w:rsidR="00216E9F" w:rsidRDefault="00B84CF3" w:rsidP="00307924">
      <w:pPr>
        <w:pStyle w:val="Nadpis1"/>
      </w:pPr>
      <w:bookmarkStart w:id="11" w:name="_Toc93265074"/>
      <w:r>
        <w:t>Výsledky dotazníkového šetření</w:t>
      </w:r>
      <w:bookmarkEnd w:id="11"/>
    </w:p>
    <w:p w14:paraId="151EF3A9" w14:textId="77777777" w:rsidR="00216E9F" w:rsidRPr="00216E9F" w:rsidRDefault="00216E9F" w:rsidP="00216E9F">
      <w:pPr>
        <w:pStyle w:val="Normlnweb"/>
        <w:spacing w:line="360" w:lineRule="auto"/>
        <w:ind w:firstLine="708"/>
        <w:jc w:val="both"/>
        <w:rPr>
          <w:color w:val="000000"/>
        </w:rPr>
      </w:pPr>
      <w:r w:rsidRPr="00216E9F">
        <w:rPr>
          <w:color w:val="000000"/>
        </w:rPr>
        <w:t>Na dotazník nám odpovědělo celkem 84 respondentů. Mužů bylo 51 a žen 33. Největší věkové zastoupení tvořili muži od 21 do 35 let (27), následováni ženami také v rozmezí 21 až 35 let (17). Naopak nejmenší zastoupení bylo shodné u obou pohlaví ve věkové skupině 20 a méně (2 a 2). Věkovou skupinu 36 až 50 let tvořilo 9 mužů a 7 žen. Zastoupení mužů ve věkové skupině 51 až 65 let činilo 8 respondentů a zbylých 5 se hlásilo do skupiny 66 a více let. U žen v rozmezí věku 51 až 65 let byly 4 zástupkyně a v poslední kategorii 66 a více let jen 3.</w:t>
      </w:r>
    </w:p>
    <w:p w14:paraId="5F7665EC" w14:textId="77777777" w:rsidR="00216E9F" w:rsidRPr="00216E9F" w:rsidRDefault="00216E9F" w:rsidP="00216E9F">
      <w:pPr>
        <w:pStyle w:val="Normlnweb"/>
        <w:spacing w:line="360" w:lineRule="auto"/>
        <w:ind w:firstLine="708"/>
        <w:jc w:val="both"/>
        <w:rPr>
          <w:color w:val="000000"/>
        </w:rPr>
      </w:pPr>
      <w:r w:rsidRPr="00216E9F">
        <w:rPr>
          <w:color w:val="000000"/>
        </w:rPr>
        <w:t>Jen 31 % (26) z celkového počtu respondentů uvedlo, že jsou věřící. K takzvanému „něcismu“ tedy víře v něco nadpřirozeného se přihlásilo shodně 8 žen a 8 mužů (tato kategorie nebyla brána do počtu věřících). Ostatní buď nechtěli odpovídat nebo zvolili možnost „bez vyznání“. Z celkových 26 věřících se ke křesťanství hlásilo 9 žen a 6 mužů. Islám nemá žádné zastoupení. Judaismus si zvolilo 7 mužů a 4 ženy jako svou víru.</w:t>
      </w:r>
    </w:p>
    <w:p w14:paraId="5C30EC2B" w14:textId="77777777" w:rsidR="00216E9F" w:rsidRPr="00216E9F" w:rsidRDefault="00216E9F" w:rsidP="00216E9F">
      <w:pPr>
        <w:pStyle w:val="Normlnweb"/>
        <w:spacing w:line="360" w:lineRule="auto"/>
        <w:ind w:firstLine="708"/>
        <w:jc w:val="both"/>
        <w:rPr>
          <w:color w:val="000000"/>
        </w:rPr>
      </w:pPr>
      <w:r w:rsidRPr="00216E9F">
        <w:rPr>
          <w:color w:val="000000"/>
        </w:rPr>
        <w:t>Jako nepřekvapující skutečnost se dá označit fakt, že všichni, kteří mají nějaké vyznání (kromě něcistů) znají pojem judaismus a umí ho vysvětlit. Ze zbývajících 58 respondentů jich 45 uvedlo, že pojem zná alespoň na nějaké základní úrovni a jen 13 lidí neví, co tento pojem znamená.</w:t>
      </w:r>
    </w:p>
    <w:p w14:paraId="5BE11ADD" w14:textId="77777777" w:rsidR="00216E9F" w:rsidRPr="00216E9F" w:rsidRDefault="00216E9F" w:rsidP="00216E9F">
      <w:pPr>
        <w:pStyle w:val="Normlnweb"/>
        <w:spacing w:line="360" w:lineRule="auto"/>
        <w:ind w:firstLine="708"/>
        <w:jc w:val="both"/>
        <w:rPr>
          <w:color w:val="000000"/>
        </w:rPr>
      </w:pPr>
      <w:r w:rsidRPr="00216E9F">
        <w:rPr>
          <w:color w:val="000000"/>
        </w:rPr>
        <w:t>Nyní přichází na řadu hlavní pojem celé této práce. Bar micva, samozřejmě že všech 11 respondentů hlásících se k judaismu tento pojem znalo. Z 15 křesťanských věřících jich většina (10) taktéž pojem znala, jen 5 si myslelo, že se jedná o něco jiného. Něcisté, kteří jsou zastoupeni 16 respondenty si vedli o poznání hůře. Pouhých 5 jich znalo pojem bar micva. U zbylých 42 nevěřících jich jen 8 dokázalo vysvětlit, co to bar micva znamená a kdo ji vykonává.</w:t>
      </w:r>
    </w:p>
    <w:p w14:paraId="65D08A0B" w14:textId="77777777" w:rsidR="00216E9F" w:rsidRPr="00216E9F" w:rsidRDefault="00216E9F" w:rsidP="00216E9F">
      <w:pPr>
        <w:pStyle w:val="Normlnweb"/>
        <w:spacing w:line="360" w:lineRule="auto"/>
        <w:ind w:firstLine="708"/>
        <w:jc w:val="both"/>
        <w:rPr>
          <w:color w:val="000000"/>
        </w:rPr>
      </w:pPr>
      <w:r w:rsidRPr="00216E9F">
        <w:rPr>
          <w:color w:val="000000"/>
        </w:rPr>
        <w:t>U otázky, kde měli respondenti vysvětlit rozdíly mezi bar micva a bat micva, dopadli velmi podobně jako u již zmíněné otázky ohledně pojmu bar micva.</w:t>
      </w:r>
    </w:p>
    <w:p w14:paraId="0C4CA835" w14:textId="77777777" w:rsidR="00216E9F" w:rsidRPr="00216E9F" w:rsidRDefault="00216E9F" w:rsidP="00216E9F">
      <w:pPr>
        <w:pStyle w:val="Normlnweb"/>
        <w:spacing w:line="360" w:lineRule="auto"/>
        <w:ind w:firstLine="708"/>
        <w:jc w:val="both"/>
        <w:rPr>
          <w:color w:val="000000"/>
        </w:rPr>
      </w:pPr>
      <w:r w:rsidRPr="00216E9F">
        <w:rPr>
          <w:color w:val="000000"/>
        </w:rPr>
        <w:t>Když budeme nahlížet na otázku ohledně znalosti pojmu bar micva podle věku, dojdeme k závěru, že znalost prokazují hlavně věkové skupiny 36 až 50 let a 51 až 65 let. Samozřejmě i v těchto skupinách ne všichni věděli, o co se jedná, ale procentuálně se jednalo o nejlepší výsledky.</w:t>
      </w:r>
    </w:p>
    <w:p w14:paraId="2E01E50A" w14:textId="3EFB97E4" w:rsidR="00B87B58" w:rsidRDefault="00B84CF3" w:rsidP="00A77135">
      <w:pPr>
        <w:pStyle w:val="Nadpis1"/>
      </w:pPr>
      <w:r>
        <w:lastRenderedPageBreak/>
        <w:t xml:space="preserve"> </w:t>
      </w:r>
      <w:bookmarkStart w:id="12" w:name="_Toc93265075"/>
      <w:r>
        <w:t>Závěr</w:t>
      </w:r>
      <w:bookmarkEnd w:id="12"/>
    </w:p>
    <w:p w14:paraId="0EA94C26" w14:textId="6E93C4C0" w:rsidR="00216E9F" w:rsidRPr="00216E9F" w:rsidRDefault="00216E9F" w:rsidP="00216E9F">
      <w:pPr>
        <w:pStyle w:val="Normlnweb"/>
        <w:spacing w:line="360" w:lineRule="auto"/>
        <w:ind w:firstLine="708"/>
        <w:jc w:val="both"/>
        <w:rPr>
          <w:color w:val="000000"/>
        </w:rPr>
      </w:pPr>
      <w:r w:rsidRPr="00216E9F">
        <w:rPr>
          <w:color w:val="000000"/>
        </w:rPr>
        <w:t>Rituál bar micva je tu již několik století. Během času se postupně formoval až do podoby, v jaké ho známe dnes. Nutné je však zdůraznit, že až donedávna existoval jen v mužské podobě, nyní už můžeme hovořit i o ženské obdobě tedy bat micva. Tyto dva rituály mají mezi sebou jen nepatrné rozdíly.</w:t>
      </w:r>
      <w:r w:rsidR="00A77135">
        <w:rPr>
          <w:color w:val="000000"/>
        </w:rPr>
        <w:t xml:space="preserve"> Mohli bychom tedy říci, že spojení starých tradic s moderním světem s přispěním emancipace žen tvoří zcela nové rituály a tradice, které se více přibližují dnešní náladě ve společnosti. </w:t>
      </w:r>
    </w:p>
    <w:p w14:paraId="0FDB07E1" w14:textId="6F5585D1" w:rsidR="00216E9F" w:rsidRDefault="00216E9F" w:rsidP="00216E9F">
      <w:pPr>
        <w:pStyle w:val="Normlnweb"/>
        <w:spacing w:line="360" w:lineRule="auto"/>
        <w:ind w:firstLine="708"/>
        <w:jc w:val="both"/>
        <w:rPr>
          <w:color w:val="000000"/>
        </w:rPr>
      </w:pPr>
      <w:r w:rsidRPr="00216E9F">
        <w:rPr>
          <w:color w:val="000000"/>
        </w:rPr>
        <w:t>Co ovšem rozdílné je, jsou přechodové rituály v různých kulturách a společenst</w:t>
      </w:r>
      <w:r w:rsidR="00A77135">
        <w:rPr>
          <w:color w:val="000000"/>
        </w:rPr>
        <w:t>vích</w:t>
      </w:r>
      <w:r w:rsidRPr="00216E9F">
        <w:rPr>
          <w:color w:val="000000"/>
        </w:rPr>
        <w:t xml:space="preserve"> po celém světě. Každé etnikum má trochu odlišný způsob provádění „přechodu“ z chlapce v muže a z dívky v ženu. Některé jsou extrémně nebezpečné, jiné zase velice formální a s přísnými pravidly.</w:t>
      </w:r>
      <w:r w:rsidR="00BA5643">
        <w:rPr>
          <w:color w:val="000000"/>
        </w:rPr>
        <w:t xml:space="preserve"> Bar micva patří k těm </w:t>
      </w:r>
      <w:r w:rsidR="00A77135">
        <w:rPr>
          <w:color w:val="000000"/>
        </w:rPr>
        <w:t>poklidnějším</w:t>
      </w:r>
      <w:r w:rsidR="00BA5643">
        <w:rPr>
          <w:color w:val="000000"/>
        </w:rPr>
        <w:t xml:space="preserve"> rituálům, chlapec není nijak fyzicky zkoušen ani vystaven nebezpečí nebo snad souboji na život a na smrt. Stačí se naučit text z Tóry, ten poté přednést, přijmout odpovědnost za své činy a „zasnoubit se“ s Bohem. </w:t>
      </w:r>
    </w:p>
    <w:p w14:paraId="0AC54661" w14:textId="0401C093" w:rsidR="00185BF2" w:rsidRPr="00216E9F" w:rsidRDefault="00185BF2" w:rsidP="00216E9F">
      <w:pPr>
        <w:pStyle w:val="Normlnweb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 jak to mají naši respondenti se znalostmi o rituálu bar micva? Potvrdila se domněnka autorů práce? Dalo by se </w:t>
      </w:r>
      <w:r w:rsidR="00540450">
        <w:rPr>
          <w:color w:val="000000"/>
        </w:rPr>
        <w:t>říct</w:t>
      </w:r>
      <w:r>
        <w:rPr>
          <w:color w:val="000000"/>
        </w:rPr>
        <w:t xml:space="preserve">, že tak napůl. Mladší věkové skupiny o tomto rituálu téměř nic neví, ovšem ti starší vědí, o čem je řeč. Lidé, </w:t>
      </w:r>
      <w:r w:rsidR="00540450">
        <w:rPr>
          <w:color w:val="000000"/>
        </w:rPr>
        <w:t>kteří</w:t>
      </w:r>
      <w:r>
        <w:rPr>
          <w:color w:val="000000"/>
        </w:rPr>
        <w:t xml:space="preserve"> se nepřihlásili k žádné víře téměř neměli o rituálu ponětí a tím potvrdili domněnku autorů. Věřící sice své znalosti prokázali, ale byli v menšině. Nicméně nedá se tvrdit, že v dnešní době o tomto židovském rituálu už nikdo neví a je ve společnosti zapomenut. </w:t>
      </w:r>
      <w:r w:rsidR="00161369">
        <w:rPr>
          <w:color w:val="000000"/>
        </w:rPr>
        <w:t xml:space="preserve">Ovšem otázkou </w:t>
      </w:r>
      <w:r w:rsidR="00307924">
        <w:rPr>
          <w:color w:val="000000"/>
        </w:rPr>
        <w:t>zůstává,</w:t>
      </w:r>
      <w:r w:rsidR="00161369">
        <w:rPr>
          <w:color w:val="000000"/>
        </w:rPr>
        <w:t xml:space="preserve"> jak tomu bude v následujících letech po obměně dalších generací. </w:t>
      </w:r>
      <w:r w:rsidR="00540450">
        <w:rPr>
          <w:color w:val="000000"/>
        </w:rPr>
        <w:t xml:space="preserve">Situace by se mohla zlepšit změnou vzdělávacích programů v rámci předmětů základů společenských věd. Je ovšem třeba mít na paměti jistou citlivost ohledně náboženských témat a kde je hranice obecných znalostí a náboženské výuky. </w:t>
      </w:r>
    </w:p>
    <w:p w14:paraId="4995715A" w14:textId="576B33D0" w:rsidR="00894922" w:rsidRDefault="00894922">
      <w:pPr>
        <w:spacing w:line="259" w:lineRule="auto"/>
        <w:jc w:val="left"/>
      </w:pPr>
      <w:r>
        <w:br w:type="page"/>
      </w:r>
    </w:p>
    <w:bookmarkStart w:id="13" w:name="_Toc93265076" w:displacedByCustomXml="next"/>
    <w:sdt>
      <w:sdtPr>
        <w:id w:val="-2097390306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 w:val="24"/>
          <w:szCs w:val="22"/>
        </w:rPr>
      </w:sdtEndPr>
      <w:sdtContent>
        <w:p w14:paraId="10A3EA96" w14:textId="24AE3B1A" w:rsidR="00FB2981" w:rsidRDefault="00FB2981">
          <w:pPr>
            <w:pStyle w:val="Nadpis1"/>
          </w:pPr>
          <w:r>
            <w:t>Primární zdroje</w:t>
          </w:r>
          <w:bookmarkEnd w:id="13"/>
        </w:p>
        <w:sdt>
          <w:sdtPr>
            <w:id w:val="1647855253"/>
            <w:bibliography/>
          </w:sdtPr>
          <w:sdtContent>
            <w:p w14:paraId="1028D10D" w14:textId="77777777" w:rsidR="00FB2981" w:rsidRDefault="00FB2981" w:rsidP="00FB2981">
              <w:pPr>
                <w:pStyle w:val="Bibliografie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</w:rPr>
                <w:t xml:space="preserve">Bar Micva není jen obřad. </w:t>
              </w:r>
              <w:r>
                <w:rPr>
                  <w:b/>
                  <w:bCs/>
                  <w:noProof/>
                </w:rPr>
                <w:t>Fišer, Adam. 2001.</w:t>
              </w:r>
              <w:r>
                <w:rPr>
                  <w:noProof/>
                </w:rPr>
                <w:t xml:space="preserve"> 2, 2001, DINGIR, str. 9.</w:t>
              </w:r>
            </w:p>
            <w:p w14:paraId="08E89AD8" w14:textId="77777777" w:rsidR="00FB2981" w:rsidRDefault="00FB2981" w:rsidP="00FB2981">
              <w:pPr>
                <w:pStyle w:val="Bibliografi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Encyclopedia. 2021.</w:t>
              </w:r>
              <w:r>
                <w:rPr>
                  <w:noProof/>
                </w:rPr>
                <w:t xml:space="preserve"> Initiation: Men´s Initiatiom. [Online] 29. Prosinec 2021. [Citace: 3. Leden 2022.] https://www.encyclopedia.com/environment/encyclopedias-almanacs-transcripts-and-maps/initiation-mens-initiation.</w:t>
              </w:r>
            </w:p>
            <w:p w14:paraId="5E891002" w14:textId="77777777" w:rsidR="00FB2981" w:rsidRDefault="00FB2981" w:rsidP="00FB2981">
              <w:pPr>
                <w:pStyle w:val="Bibliografi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Gennep, A. van. 1997.</w:t>
              </w:r>
              <w:r>
                <w:rPr>
                  <w:noProof/>
                </w:rPr>
                <w:t xml:space="preserve"> </w:t>
              </w:r>
              <w:r>
                <w:rPr>
                  <w:i/>
                  <w:iCs/>
                  <w:noProof/>
                </w:rPr>
                <w:t xml:space="preserve">Přechodové rituály. Systematické studium rituálů. </w:t>
              </w:r>
              <w:r>
                <w:rPr>
                  <w:noProof/>
                </w:rPr>
                <w:t>Praha : Nakladatelství Lidové noviny, 1997.</w:t>
              </w:r>
            </w:p>
            <w:p w14:paraId="7B6B43D2" w14:textId="7CCD8A66" w:rsidR="00FB2981" w:rsidRDefault="00FB2981" w:rsidP="00FB2981">
              <w:pPr>
                <w:pStyle w:val="Bibliografi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Kratochvíl, Martin. 2006.</w:t>
              </w:r>
              <w:r>
                <w:rPr>
                  <w:noProof/>
                </w:rPr>
                <w:t xml:space="preserve"> </w:t>
              </w:r>
              <w:r>
                <w:rPr>
                  <w:i/>
                  <w:iCs/>
                  <w:noProof/>
                </w:rPr>
                <w:t xml:space="preserve">Prolínání světů: Cesta k dospělosti. </w:t>
              </w:r>
              <w:r>
                <w:rPr>
                  <w:noProof/>
                </w:rPr>
                <w:t>[autor] Tomáš Halík. Česká televize, 2006.</w:t>
              </w: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96FF6A3" w14:textId="18AADA23" w:rsidR="00894922" w:rsidRDefault="00894922" w:rsidP="009A7938"/>
    <w:bookmarkStart w:id="14" w:name="_Toc93265077" w:displacedByCustomXml="next"/>
    <w:sdt>
      <w:sdtPr>
        <w:id w:val="2050555751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 w:val="24"/>
          <w:szCs w:val="22"/>
        </w:rPr>
      </w:sdtEndPr>
      <w:sdtContent>
        <w:p w14:paraId="0F31A8C2" w14:textId="77777777" w:rsidR="00FB2981" w:rsidRDefault="00FB2981" w:rsidP="00FB2981">
          <w:pPr>
            <w:pStyle w:val="Nadpis1"/>
          </w:pPr>
          <w:r>
            <w:t>Sekundární zdroje</w:t>
          </w:r>
          <w:bookmarkEnd w:id="14"/>
        </w:p>
        <w:sdt>
          <w:sdtPr>
            <w:id w:val="-2078428138"/>
            <w:bibliography/>
          </w:sdtPr>
          <w:sdtContent>
            <w:p w14:paraId="7F23CDCD" w14:textId="77777777" w:rsidR="00FB2981" w:rsidRDefault="00FB2981" w:rsidP="00FB2981">
              <w:pPr>
                <w:pStyle w:val="Bibliografie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b/>
                  <w:bCs/>
                  <w:noProof/>
                </w:rPr>
                <w:t>Švecová, Jana. 2017.</w:t>
              </w:r>
              <w:r>
                <w:rPr>
                  <w:noProof/>
                </w:rPr>
                <w:t xml:space="preserve"> V liberecké synagoze přijala židovský obřad bat micva dívka z Prahy. </w:t>
              </w:r>
              <w:r>
                <w:rPr>
                  <w:i/>
                  <w:iCs/>
                  <w:noProof/>
                </w:rPr>
                <w:t xml:space="preserve">LIBERECKÝ deník.cz. </w:t>
              </w:r>
              <w:r>
                <w:rPr>
                  <w:noProof/>
                </w:rPr>
                <w:t>[Online] 5. Červenec 2017. [Citace: 03. Leden 2022.] https://liberecky.denik.cz/zpravy_region/v-liberecke-synagoze-prijala-zidovsky-obrad-bat-micva-divka-z-prahy-20170705.html.</w:t>
              </w:r>
            </w:p>
            <w:p w14:paraId="1B9B1B93" w14:textId="77777777" w:rsidR="00FB2981" w:rsidRDefault="00FB2981" w:rsidP="00FB2981">
              <w:pPr>
                <w:pStyle w:val="Bibliografi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Zbíral, David. 2007.</w:t>
              </w:r>
              <w:r>
                <w:rPr>
                  <w:noProof/>
                </w:rPr>
                <w:t xml:space="preserve"> Arnold van Gennep a přechodové rituály. [Online] 14. Leden 2007. [Citace: 3. Leden 2022.] http://www.david-zbiral.cz/gennep.htm#_ftn1.</w:t>
              </w:r>
            </w:p>
            <w:p w14:paraId="287D91AC" w14:textId="77777777" w:rsidR="00FB2981" w:rsidRDefault="00FB2981" w:rsidP="00FB298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013A7E0" w14:textId="77777777" w:rsidR="00216E9F" w:rsidRDefault="00216E9F" w:rsidP="00AA2E10"/>
    <w:sectPr w:rsidR="00216E9F" w:rsidSect="00F1600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60AB" w14:textId="77777777" w:rsidR="00574B71" w:rsidRDefault="00574B71" w:rsidP="00ED09E1">
      <w:pPr>
        <w:spacing w:after="0" w:line="240" w:lineRule="auto"/>
      </w:pPr>
      <w:r>
        <w:separator/>
      </w:r>
    </w:p>
  </w:endnote>
  <w:endnote w:type="continuationSeparator" w:id="0">
    <w:p w14:paraId="3CE71286" w14:textId="77777777" w:rsidR="00574B71" w:rsidRDefault="00574B71" w:rsidP="00ED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675879"/>
      <w:docPartObj>
        <w:docPartGallery w:val="Page Numbers (Bottom of Page)"/>
        <w:docPartUnique/>
      </w:docPartObj>
    </w:sdtPr>
    <w:sdtContent>
      <w:p w14:paraId="101B0689" w14:textId="7A92C4E5" w:rsidR="00F1600A" w:rsidRDefault="00F160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46C32" w14:textId="77777777" w:rsidR="00F1600A" w:rsidRDefault="00F160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6325" w14:textId="77777777" w:rsidR="00574B71" w:rsidRDefault="00574B71" w:rsidP="00ED09E1">
      <w:pPr>
        <w:spacing w:after="0" w:line="240" w:lineRule="auto"/>
      </w:pPr>
      <w:r>
        <w:separator/>
      </w:r>
    </w:p>
  </w:footnote>
  <w:footnote w:type="continuationSeparator" w:id="0">
    <w:p w14:paraId="2C6901CF" w14:textId="77777777" w:rsidR="00574B71" w:rsidRDefault="00574B71" w:rsidP="00ED09E1">
      <w:pPr>
        <w:spacing w:after="0" w:line="240" w:lineRule="auto"/>
      </w:pPr>
      <w:r>
        <w:continuationSeparator/>
      </w:r>
    </w:p>
  </w:footnote>
  <w:footnote w:id="1">
    <w:p w14:paraId="0A1E9418" w14:textId="2B11DF57" w:rsidR="002D5202" w:rsidRDefault="002D5202" w:rsidP="002D5202">
      <w:pPr>
        <w:pStyle w:val="Bibliografie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r>
        <w:rPr>
          <w:b/>
          <w:bCs/>
          <w:noProof/>
        </w:rPr>
        <w:t>Gennep, A. van. 1997.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Přechodové rituály. Systematické studium rituálů. </w:t>
      </w:r>
      <w:r>
        <w:rPr>
          <w:noProof/>
        </w:rPr>
        <w:t>Praha : Nakladatelství Lidové noviny, 1997.</w:t>
      </w:r>
    </w:p>
  </w:footnote>
  <w:footnote w:id="2">
    <w:p w14:paraId="1A62FB7E" w14:textId="578C2C99" w:rsidR="006107A9" w:rsidRPr="006107A9" w:rsidRDefault="006107A9" w:rsidP="006107A9">
      <w:pPr>
        <w:pStyle w:val="Bibliografie"/>
        <w:rPr>
          <w:sz w:val="20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107A9">
        <w:rPr>
          <w:b/>
          <w:bCs/>
          <w:noProof/>
          <w:sz w:val="20"/>
          <w:szCs w:val="18"/>
        </w:rPr>
        <w:t>Zbíral, David. 2007.</w:t>
      </w:r>
      <w:r w:rsidRPr="006107A9">
        <w:rPr>
          <w:noProof/>
          <w:sz w:val="20"/>
          <w:szCs w:val="18"/>
        </w:rPr>
        <w:t xml:space="preserve"> Arnold van Gennep a přechodové rituály. [Online] 14. Leden 2007. [Citace: 3. Leden 2022.] http://www.david-zbiral.cz/gennep.htm#_ftn1.</w:t>
      </w:r>
    </w:p>
  </w:footnote>
  <w:footnote w:id="3">
    <w:p w14:paraId="3F3E2DEB" w14:textId="7DBD0595" w:rsidR="006107A9" w:rsidRPr="006107A9" w:rsidRDefault="006107A9" w:rsidP="006107A9">
      <w:pPr>
        <w:pStyle w:val="Bibliografie"/>
        <w:rPr>
          <w:noProof/>
          <w:sz w:val="20"/>
          <w:szCs w:val="18"/>
        </w:rPr>
      </w:pPr>
      <w:r w:rsidRPr="006107A9">
        <w:rPr>
          <w:rStyle w:val="Znakapoznpodarou"/>
          <w:sz w:val="20"/>
          <w:szCs w:val="18"/>
        </w:rPr>
        <w:footnoteRef/>
      </w:r>
      <w:r w:rsidRPr="006107A9">
        <w:rPr>
          <w:sz w:val="20"/>
          <w:szCs w:val="18"/>
        </w:rPr>
        <w:t xml:space="preserve"> </w:t>
      </w:r>
      <w:r w:rsidRPr="006107A9">
        <w:rPr>
          <w:b/>
          <w:bCs/>
          <w:noProof/>
          <w:sz w:val="20"/>
          <w:szCs w:val="18"/>
        </w:rPr>
        <w:t>Zbíral, David. 2007.</w:t>
      </w:r>
      <w:r w:rsidRPr="006107A9">
        <w:rPr>
          <w:noProof/>
          <w:sz w:val="20"/>
          <w:szCs w:val="18"/>
        </w:rPr>
        <w:t xml:space="preserve"> c</w:t>
      </w:r>
      <w:r w:rsidRPr="006107A9">
        <w:rPr>
          <w:noProof/>
          <w:sz w:val="20"/>
          <w:szCs w:val="18"/>
        </w:rPr>
        <w:t>.</w:t>
      </w:r>
      <w:r w:rsidRPr="006107A9">
        <w:rPr>
          <w:noProof/>
          <w:sz w:val="20"/>
          <w:szCs w:val="18"/>
        </w:rPr>
        <w:t>d.</w:t>
      </w:r>
    </w:p>
    <w:p w14:paraId="093EF928" w14:textId="4F746A0F" w:rsidR="006107A9" w:rsidRDefault="006107A9">
      <w:pPr>
        <w:pStyle w:val="Textpoznpodarou"/>
      </w:pPr>
    </w:p>
  </w:footnote>
  <w:footnote w:id="4">
    <w:p w14:paraId="2109E557" w14:textId="0FFDC280" w:rsidR="009326D1" w:rsidRDefault="009326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/>
          <w:bCs/>
          <w:noProof/>
        </w:rPr>
        <w:t>Encyclopedia. 2021.</w:t>
      </w:r>
      <w:r>
        <w:rPr>
          <w:noProof/>
        </w:rPr>
        <w:t xml:space="preserve"> Initiation: Men´s Initiatiom. [Online] 29. Prosinec 2021. [Citace: 3. Leden 2022.] https://www.encyclopedia.com/environment/encyclopedias-almanacs-transcripts-and-maps/initiation-mens-initiation</w:t>
      </w:r>
    </w:p>
  </w:footnote>
  <w:footnote w:id="5">
    <w:p w14:paraId="0F985C60" w14:textId="6AAB2C18" w:rsidR="009326D1" w:rsidRDefault="009326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/>
          <w:bCs/>
          <w:noProof/>
        </w:rPr>
        <w:t>Encyclopedia. 2021.</w:t>
      </w:r>
      <w:r>
        <w:rPr>
          <w:noProof/>
        </w:rPr>
        <w:t xml:space="preserve"> </w:t>
      </w:r>
      <w:r>
        <w:rPr>
          <w:noProof/>
        </w:rPr>
        <w:t>c.d.</w:t>
      </w:r>
    </w:p>
  </w:footnote>
  <w:footnote w:id="6">
    <w:p w14:paraId="50622E94" w14:textId="28D6BD6A" w:rsidR="006107A9" w:rsidRDefault="006107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7A9">
        <w:rPr>
          <w:b/>
          <w:bCs/>
          <w:noProof/>
          <w:szCs w:val="18"/>
        </w:rPr>
        <w:t>Zbíral, David. 2007.</w:t>
      </w:r>
      <w:r w:rsidRPr="006107A9">
        <w:rPr>
          <w:noProof/>
          <w:szCs w:val="18"/>
        </w:rPr>
        <w:t xml:space="preserve"> c.d.</w:t>
      </w:r>
    </w:p>
  </w:footnote>
  <w:footnote w:id="7">
    <w:p w14:paraId="4CD596E2" w14:textId="0064FDEC" w:rsidR="006107A9" w:rsidRDefault="006107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/>
          <w:bCs/>
          <w:noProof/>
        </w:rPr>
        <w:t>Encyclopedia. 2021.</w:t>
      </w:r>
      <w:r>
        <w:rPr>
          <w:noProof/>
        </w:rPr>
        <w:t xml:space="preserve"> c.d.</w:t>
      </w:r>
    </w:p>
  </w:footnote>
  <w:footnote w:id="8">
    <w:p w14:paraId="76AB1334" w14:textId="5493EB28" w:rsidR="006107A9" w:rsidRDefault="006107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/>
          <w:bCs/>
          <w:noProof/>
        </w:rPr>
        <w:t>Gennep, A. van. 1997.</w:t>
      </w:r>
      <w:r w:rsidR="0065551B">
        <w:rPr>
          <w:noProof/>
        </w:rPr>
        <w:t xml:space="preserve"> c.d.</w:t>
      </w:r>
    </w:p>
  </w:footnote>
  <w:footnote w:id="9">
    <w:p w14:paraId="3698064C" w14:textId="25ED7FC2" w:rsidR="006107A9" w:rsidRDefault="006107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/>
          <w:bCs/>
          <w:noProof/>
        </w:rPr>
        <w:t>Štěpková, Tereza. 2011.</w:t>
      </w:r>
      <w:r>
        <w:rPr>
          <w:noProof/>
        </w:rPr>
        <w:t xml:space="preserve"> BAR MICVA - BAT MICVA. [Online] 2011. [Citace: 2. Leden 2022.] https://www.holocaust.cz/zdroje/slovnicek-pojmu-z-judaismu/bar-micva---bat-micva/</w:t>
      </w:r>
    </w:p>
  </w:footnote>
  <w:footnote w:id="10">
    <w:p w14:paraId="2EAB0116" w14:textId="059FB765" w:rsidR="006107A9" w:rsidRPr="006107A9" w:rsidRDefault="006107A9" w:rsidP="006107A9">
      <w:pPr>
        <w:pStyle w:val="Bibliografie"/>
        <w:rPr>
          <w:noProof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6107A9">
        <w:rPr>
          <w:i/>
          <w:iCs/>
          <w:noProof/>
          <w:sz w:val="20"/>
          <w:szCs w:val="20"/>
        </w:rPr>
        <w:t xml:space="preserve">Bar Micva není jen obřad. </w:t>
      </w:r>
      <w:r w:rsidRPr="006107A9">
        <w:rPr>
          <w:b/>
          <w:bCs/>
          <w:noProof/>
          <w:sz w:val="20"/>
          <w:szCs w:val="20"/>
        </w:rPr>
        <w:t>Fišer, Adam. 2001.</w:t>
      </w:r>
      <w:r w:rsidRPr="006107A9">
        <w:rPr>
          <w:noProof/>
          <w:sz w:val="20"/>
          <w:szCs w:val="20"/>
        </w:rPr>
        <w:t xml:space="preserve"> 2, 2001, DINGIR, str. 9.</w:t>
      </w:r>
    </w:p>
  </w:footnote>
  <w:footnote w:id="11">
    <w:p w14:paraId="1D49B5A5" w14:textId="1CD2A683" w:rsidR="006107A9" w:rsidRPr="006107A9" w:rsidRDefault="006107A9">
      <w:pPr>
        <w:pStyle w:val="Textpoznpodarou"/>
      </w:pPr>
      <w:r w:rsidRPr="006107A9">
        <w:rPr>
          <w:rStyle w:val="Znakapoznpodarou"/>
        </w:rPr>
        <w:footnoteRef/>
      </w:r>
      <w:r w:rsidRPr="006107A9">
        <w:t xml:space="preserve"> </w:t>
      </w:r>
      <w:r w:rsidRPr="006107A9">
        <w:rPr>
          <w:b/>
          <w:bCs/>
          <w:noProof/>
        </w:rPr>
        <w:t>Kratochvíl, Martin. 2006.</w:t>
      </w:r>
      <w:r w:rsidRPr="006107A9">
        <w:rPr>
          <w:noProof/>
        </w:rPr>
        <w:t xml:space="preserve"> </w:t>
      </w:r>
      <w:r w:rsidRPr="006107A9">
        <w:rPr>
          <w:i/>
          <w:iCs/>
          <w:noProof/>
        </w:rPr>
        <w:t xml:space="preserve">Prolínání světů: Cesta k dospělosti. </w:t>
      </w:r>
      <w:r w:rsidRPr="006107A9">
        <w:rPr>
          <w:noProof/>
        </w:rPr>
        <w:t>[autor] Tomáš Halík. Česká televize, 2006</w:t>
      </w:r>
    </w:p>
  </w:footnote>
  <w:footnote w:id="12">
    <w:p w14:paraId="049FFBAF" w14:textId="53BED9C1" w:rsidR="006107A9" w:rsidRDefault="006107A9" w:rsidP="006107A9">
      <w:pPr>
        <w:pStyle w:val="Bibliografie"/>
        <w:rPr>
          <w:noProof/>
        </w:rPr>
      </w:pPr>
      <w:r w:rsidRPr="006107A9">
        <w:rPr>
          <w:rStyle w:val="Znakapoznpodarou"/>
          <w:sz w:val="20"/>
          <w:szCs w:val="20"/>
        </w:rPr>
        <w:footnoteRef/>
      </w:r>
      <w:r w:rsidRPr="006107A9">
        <w:rPr>
          <w:sz w:val="20"/>
          <w:szCs w:val="20"/>
        </w:rPr>
        <w:t xml:space="preserve"> </w:t>
      </w:r>
      <w:r w:rsidRPr="006107A9">
        <w:rPr>
          <w:b/>
          <w:bCs/>
          <w:noProof/>
          <w:sz w:val="20"/>
          <w:szCs w:val="20"/>
        </w:rPr>
        <w:t>Švecová, Jana. 2017.</w:t>
      </w:r>
      <w:r w:rsidRPr="006107A9">
        <w:rPr>
          <w:noProof/>
          <w:sz w:val="20"/>
          <w:szCs w:val="20"/>
        </w:rPr>
        <w:t xml:space="preserve"> V liberecké synagoze přijala židovský obřad bat micva dívka z Prahy. </w:t>
      </w:r>
      <w:r w:rsidRPr="006107A9">
        <w:rPr>
          <w:i/>
          <w:iCs/>
          <w:noProof/>
          <w:sz w:val="20"/>
          <w:szCs w:val="20"/>
        </w:rPr>
        <w:t xml:space="preserve">LIBERECKÝ deník.cz. </w:t>
      </w:r>
      <w:r w:rsidRPr="006107A9">
        <w:rPr>
          <w:noProof/>
          <w:sz w:val="20"/>
          <w:szCs w:val="20"/>
        </w:rPr>
        <w:t>[Online] 5. Červenec 2017. [Citace: 03. Leden 2022.] https://liberecky.denik.cz/zpravy_region/v-liberecke-synagoze-prijala-zidovsky-obrad-bat-micva-divka-z-prahy-20170705.html.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11A4"/>
    <w:multiLevelType w:val="hybridMultilevel"/>
    <w:tmpl w:val="ED521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78"/>
    <w:rsid w:val="00001048"/>
    <w:rsid w:val="000826AA"/>
    <w:rsid w:val="00082B44"/>
    <w:rsid w:val="000A7966"/>
    <w:rsid w:val="000C1138"/>
    <w:rsid w:val="00134292"/>
    <w:rsid w:val="00140675"/>
    <w:rsid w:val="00154AA0"/>
    <w:rsid w:val="00161369"/>
    <w:rsid w:val="00185BF2"/>
    <w:rsid w:val="001D6468"/>
    <w:rsid w:val="001E4E9C"/>
    <w:rsid w:val="00216E9F"/>
    <w:rsid w:val="0023223C"/>
    <w:rsid w:val="00245162"/>
    <w:rsid w:val="0025508A"/>
    <w:rsid w:val="00273F78"/>
    <w:rsid w:val="00291505"/>
    <w:rsid w:val="002B6C00"/>
    <w:rsid w:val="002D5202"/>
    <w:rsid w:val="002E65FD"/>
    <w:rsid w:val="002F3132"/>
    <w:rsid w:val="00307924"/>
    <w:rsid w:val="00330794"/>
    <w:rsid w:val="003757C8"/>
    <w:rsid w:val="0039420F"/>
    <w:rsid w:val="003E0008"/>
    <w:rsid w:val="003E1B5C"/>
    <w:rsid w:val="00413F87"/>
    <w:rsid w:val="00423045"/>
    <w:rsid w:val="004575BA"/>
    <w:rsid w:val="00481374"/>
    <w:rsid w:val="004B1BD8"/>
    <w:rsid w:val="004B1CB6"/>
    <w:rsid w:val="004F1549"/>
    <w:rsid w:val="0050456B"/>
    <w:rsid w:val="0050685F"/>
    <w:rsid w:val="005131F7"/>
    <w:rsid w:val="00515A78"/>
    <w:rsid w:val="00540450"/>
    <w:rsid w:val="00542654"/>
    <w:rsid w:val="0055558D"/>
    <w:rsid w:val="00574B71"/>
    <w:rsid w:val="0059706D"/>
    <w:rsid w:val="005A57EF"/>
    <w:rsid w:val="005E0CC4"/>
    <w:rsid w:val="00600326"/>
    <w:rsid w:val="006107A9"/>
    <w:rsid w:val="006269DA"/>
    <w:rsid w:val="0063156F"/>
    <w:rsid w:val="0065551B"/>
    <w:rsid w:val="00657C10"/>
    <w:rsid w:val="006B491A"/>
    <w:rsid w:val="006C7B52"/>
    <w:rsid w:val="006D1D4B"/>
    <w:rsid w:val="006E3E9D"/>
    <w:rsid w:val="00723CB1"/>
    <w:rsid w:val="007321DF"/>
    <w:rsid w:val="00751ED4"/>
    <w:rsid w:val="00776F64"/>
    <w:rsid w:val="007827D5"/>
    <w:rsid w:val="007A6A7C"/>
    <w:rsid w:val="007D7729"/>
    <w:rsid w:val="00810722"/>
    <w:rsid w:val="00825FFC"/>
    <w:rsid w:val="00866A48"/>
    <w:rsid w:val="00894922"/>
    <w:rsid w:val="008B1807"/>
    <w:rsid w:val="008E642B"/>
    <w:rsid w:val="008F0FAF"/>
    <w:rsid w:val="00910631"/>
    <w:rsid w:val="009326D1"/>
    <w:rsid w:val="0095096E"/>
    <w:rsid w:val="00955C62"/>
    <w:rsid w:val="00956333"/>
    <w:rsid w:val="009950F7"/>
    <w:rsid w:val="009A2B48"/>
    <w:rsid w:val="009A7938"/>
    <w:rsid w:val="009B0F0D"/>
    <w:rsid w:val="009C4B42"/>
    <w:rsid w:val="009D0A17"/>
    <w:rsid w:val="00A3089B"/>
    <w:rsid w:val="00A51E98"/>
    <w:rsid w:val="00A70FE8"/>
    <w:rsid w:val="00A72841"/>
    <w:rsid w:val="00A77135"/>
    <w:rsid w:val="00A93923"/>
    <w:rsid w:val="00A97C98"/>
    <w:rsid w:val="00AA2E10"/>
    <w:rsid w:val="00B248D6"/>
    <w:rsid w:val="00B5569A"/>
    <w:rsid w:val="00B70968"/>
    <w:rsid w:val="00B7653F"/>
    <w:rsid w:val="00B84CF3"/>
    <w:rsid w:val="00B87B58"/>
    <w:rsid w:val="00B92EA5"/>
    <w:rsid w:val="00BA5643"/>
    <w:rsid w:val="00BB36E5"/>
    <w:rsid w:val="00BC7BB2"/>
    <w:rsid w:val="00BF5EC2"/>
    <w:rsid w:val="00C33371"/>
    <w:rsid w:val="00C57A33"/>
    <w:rsid w:val="00C9594C"/>
    <w:rsid w:val="00CB50EE"/>
    <w:rsid w:val="00CC3A95"/>
    <w:rsid w:val="00D35E5A"/>
    <w:rsid w:val="00D424FE"/>
    <w:rsid w:val="00DA3C39"/>
    <w:rsid w:val="00DF7CA3"/>
    <w:rsid w:val="00E118C5"/>
    <w:rsid w:val="00E12847"/>
    <w:rsid w:val="00E318AD"/>
    <w:rsid w:val="00E32750"/>
    <w:rsid w:val="00E6072F"/>
    <w:rsid w:val="00ED09E1"/>
    <w:rsid w:val="00F103EA"/>
    <w:rsid w:val="00F1600A"/>
    <w:rsid w:val="00F34007"/>
    <w:rsid w:val="00F506FE"/>
    <w:rsid w:val="00F55EB0"/>
    <w:rsid w:val="00F7275B"/>
    <w:rsid w:val="00F9118D"/>
    <w:rsid w:val="00FB2981"/>
    <w:rsid w:val="00FD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1144"/>
  <w15:chartTrackingRefBased/>
  <w15:docId w15:val="{5BA9C66A-9841-4AC6-A914-88C5ADDB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7E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A5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60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06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A2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A2E1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A2E10"/>
  </w:style>
  <w:style w:type="character" w:styleId="Hypertextovodkaz">
    <w:name w:val="Hyperlink"/>
    <w:basedOn w:val="Standardnpsmoodstavce"/>
    <w:uiPriority w:val="99"/>
    <w:unhideWhenUsed/>
    <w:rsid w:val="003757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7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103EA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A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216E9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75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fie">
    <w:name w:val="Bibliography"/>
    <w:basedOn w:val="Normln"/>
    <w:next w:val="Normln"/>
    <w:uiPriority w:val="37"/>
    <w:unhideWhenUsed/>
    <w:rsid w:val="008949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09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09E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09E1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600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F1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0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1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00A"/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1600A"/>
    <w:pPr>
      <w:spacing w:line="259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1600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1600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>
  <b:Source>
    <b:Tag>Enc21</b:Tag>
    <b:SourceType>DocumentFromInternetSite</b:SourceType>
    <b:Guid>{6879ACC7-E21A-47EA-83D2-DBC765331F15}</b:Guid>
    <b:Title>Initiation: Men´s Initiatiom</b:Title>
    <b:Year>2021</b:Year>
    <b:Author>
      <b:Author>
        <b:Corporate>Encyclopedia</b:Corporate>
      </b:Author>
    </b:Author>
    <b:Month>Prosinec</b:Month>
    <b:Day>29</b:Day>
    <b:YearAccessed>2022</b:YearAccessed>
    <b:MonthAccessed>Leden</b:MonthAccessed>
    <b:DayAccessed>3</b:DayAccessed>
    <b:URL>https://www.encyclopedia.com/environment/encyclopedias-almanacs-transcripts-and-maps/initiation-mens-initiation</b:URL>
    <b:RefOrder>1</b:RefOrder>
  </b:Source>
  <b:Source>
    <b:Tag>Zbí07</b:Tag>
    <b:SourceType>DocumentFromInternetSite</b:SourceType>
    <b:Guid>{08D4CFDF-5AA3-4ADE-81FC-20335613ADC7}</b:Guid>
    <b:Title>Arnold van Gennep a přechodové rituály</b:Title>
    <b:Year>2007</b:Year>
    <b:Month>Leden</b:Month>
    <b:Day>14</b:Day>
    <b:YearAccessed>2022</b:YearAccessed>
    <b:MonthAccessed>Leden</b:MonthAccessed>
    <b:DayAccessed>3</b:DayAccessed>
    <b:URL>http://www.david-zbiral.cz/gennep.htm#_ftn1</b:URL>
    <b:Author>
      <b:Author>
        <b:NameList>
          <b:Person>
            <b:Last>Zbíral</b:Last>
            <b:First>David</b:First>
          </b:Person>
        </b:NameList>
      </b:Author>
    </b:Author>
    <b:RefOrder>2</b:RefOrder>
  </b:Source>
  <b:Source>
    <b:Tag>Gen97</b:Tag>
    <b:SourceType>Book</b:SourceType>
    <b:Guid>{09AEC2D9-870A-486D-AAD9-827434D52A7E}</b:Guid>
    <b:Title>Přechodové rituály. Systematické studium rituálů</b:Title>
    <b:Year>1997</b:Year>
    <b:Author>
      <b:Author>
        <b:NameList>
          <b:Person>
            <b:Last>Gennep</b:Last>
            <b:First>A.</b:First>
            <b:Middle>van</b:Middle>
          </b:Person>
        </b:NameList>
      </b:Author>
    </b:Author>
    <b:City>Praha</b:City>
    <b:Publisher>Nakladatelství Lidové noviny</b:Publisher>
    <b:RefOrder>3</b:RefOrder>
  </b:Source>
  <b:Source>
    <b:Tag>Ště11</b:Tag>
    <b:SourceType>InternetSite</b:SourceType>
    <b:Guid>{3EF83788-0254-4BC6-A52E-8FA239D9F93F}</b:Guid>
    <b:Title>BAR MICVA - BAT MICVA</b:Title>
    <b:Year>2011</b:Year>
    <b:Author>
      <b:Author>
        <b:NameList>
          <b:Person>
            <b:Last>Štěpková</b:Last>
            <b:First>Tereza</b:First>
          </b:Person>
        </b:NameList>
      </b:Author>
    </b:Author>
    <b:YearAccessed>2022</b:YearAccessed>
    <b:MonthAccessed>Leden</b:MonthAccessed>
    <b:DayAccessed>2</b:DayAccessed>
    <b:URL>https://www.holocaust.cz/zdroje/slovnicek-pojmu-z-judaismu/bar-micva---bat-micva/</b:URL>
    <b:RefOrder>4</b:RefOrder>
  </b:Source>
  <b:Source>
    <b:Tag>Fiš01</b:Tag>
    <b:SourceType>JournalArticle</b:SourceType>
    <b:Guid>{A6CDE1C7-6497-4231-85DD-D2ED58BBC36D}</b:Guid>
    <b:Author>
      <b:Author>
        <b:NameList>
          <b:Person>
            <b:Last>Fišer</b:Last>
            <b:First>Adam</b:First>
          </b:Person>
        </b:NameList>
      </b:Author>
    </b:Author>
    <b:Title>Bar Micva není jen obřad</b:Title>
    <b:JournalName>DINGIR</b:JournalName>
    <b:Year>2001</b:Year>
    <b:Pages>9</b:Pages>
    <b:Issue>2</b:Issue>
    <b:YearAccessed>2022</b:YearAccessed>
    <b:MonthAccessed>Leden</b:MonthAccessed>
    <b:DayAccessed>2</b:DayAccessed>
    <b:URL>https://www.dingir.cz/archiv/Dingir201.pdf</b:URL>
    <b:RefOrder>5</b:RefOrder>
  </b:Source>
  <b:Source>
    <b:Tag>Pro06</b:Tag>
    <b:SourceType>Film</b:SourceType>
    <b:Guid>{64826702-75B2-43DA-BCB0-9B768D478966}</b:Guid>
    <b:Title>Prolínání světů: Cesta k dospělosti</b:Title>
    <b:Year>2006</b:Year>
    <b:ProductionCompany>Česká televize</b:ProductionCompany>
    <b:CountryRegion>Česká republika</b:CountryRegion>
    <b:YearAccessed>2021</b:YearAccessed>
    <b:MonthAccessed>Prosinec</b:MonthAccessed>
    <b:DayAccessed>17</b:DayAccessed>
    <b:URL>https://www.ceskatelevize.cz/porady/10084714986-prolinani-svetu/306298380050011/</b:URL>
    <b:Author>
      <b:Director>
        <b:NameList>
          <b:Person>
            <b:Last>Kratochvíl</b:Last>
            <b:First>Martin</b:First>
          </b:Person>
        </b:NameList>
      </b:Director>
      <b:Writer>
        <b:NameList>
          <b:Person>
            <b:Last>Halík</b:Last>
            <b:First>Tomáš</b:First>
          </b:Person>
        </b:NameList>
      </b:Writer>
    </b:Author>
    <b:RefOrder>6</b:RefOrder>
  </b:Source>
  <b:Source>
    <b:Tag>Šve17</b:Tag>
    <b:SourceType>InternetSite</b:SourceType>
    <b:Guid>{AC7334AD-C572-4276-BE54-EFF7F3F7FF72}</b:Guid>
    <b:Title>V liberecké synagoze přijala židovský obřad bat micva dívka z Prahy</b:Title>
    <b:Year>2017</b:Year>
    <b:Author>
      <b:Author>
        <b:NameList>
          <b:Person>
            <b:Last>Švecová</b:Last>
            <b:First>Jana</b:First>
          </b:Person>
        </b:NameList>
      </b:Author>
    </b:Author>
    <b:YearAccessed>2022</b:YearAccessed>
    <b:MonthAccessed>Leden</b:MonthAccessed>
    <b:DayAccessed>03</b:DayAccessed>
    <b:URL>https://liberecky.denik.cz/zpravy_region/v-liberecke-synagoze-prijala-zidovsky-obrad-bat-micva-divka-z-prahy-20170705.html</b:URL>
    <b:InternetSiteTitle>LIBERECKÝ deník.cz</b:InternetSiteTitle>
    <b:Month>Červenec</b:Month>
    <b:Day>5</b:Day>
    <b:RefOrder>7</b:RefOrder>
  </b:Source>
</b:Sources>
</file>

<file path=customXml/itemProps1.xml><?xml version="1.0" encoding="utf-8"?>
<ds:datastoreItem xmlns:ds="http://schemas.openxmlformats.org/officeDocument/2006/customXml" ds:itemID="{C61424CC-A881-487D-B2A9-4F9345CD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12</Pages>
  <Words>2986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David (S-PEF)</dc:creator>
  <cp:keywords/>
  <dc:description/>
  <cp:lastModifiedBy>Kasalická Kateřina (S-PEF)</cp:lastModifiedBy>
  <cp:revision>55</cp:revision>
  <dcterms:created xsi:type="dcterms:W3CDTF">2021-11-27T10:42:00Z</dcterms:created>
  <dcterms:modified xsi:type="dcterms:W3CDTF">2022-01-16T21:38:00Z</dcterms:modified>
</cp:coreProperties>
</file>